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6DE4" w14:textId="77777777" w:rsidR="00416CA8" w:rsidRDefault="00416CA8" w:rsidP="00EF47D5">
      <w:pPr>
        <w:spacing w:before="200"/>
        <w:jc w:val="center"/>
        <w:outlineLvl w:val="0"/>
        <w:rPr>
          <w:rFonts w:ascii="Century Gothic" w:eastAsia="Times New Roman" w:hAnsi="Century Gothic" w:cs="Arial"/>
          <w:b/>
          <w:spacing w:val="10"/>
          <w:lang w:val="es-ES_tradnl" w:eastAsia="es-ES"/>
        </w:rPr>
      </w:pPr>
    </w:p>
    <w:p w14:paraId="5F8E9B95" w14:textId="271C831D"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3F0462">
        <w:rPr>
          <w:rFonts w:ascii="Century Gothic" w:eastAsia="Times New Roman" w:hAnsi="Century Gothic" w:cs="Arial"/>
          <w:b/>
          <w:spacing w:val="10"/>
          <w:lang w:val="es-ES_tradnl" w:eastAsia="es-ES"/>
        </w:rPr>
        <w:t>DE ETZATLÁN</w:t>
      </w:r>
      <w:r w:rsidR="00A048CD" w:rsidRPr="00EF47D5">
        <w:rPr>
          <w:rFonts w:ascii="Century Gothic" w:eastAsia="Times New Roman" w:hAnsi="Century Gothic" w:cs="Arial"/>
          <w:b/>
          <w:spacing w:val="10"/>
          <w:lang w:val="es-ES_tradnl" w:eastAsia="es-ES"/>
        </w:rPr>
        <w:t>, JALISCO</w:t>
      </w:r>
      <w:r w:rsidR="003F0462">
        <w:rPr>
          <w:rFonts w:ascii="Century Gothic" w:eastAsia="Times New Roman" w:hAnsi="Century Gothic" w:cs="Arial"/>
          <w:b/>
          <w:spacing w:val="10"/>
          <w:lang w:val="es-ES_tradnl" w:eastAsia="es-ES"/>
        </w:rPr>
        <w:t>.</w:t>
      </w:r>
    </w:p>
    <w:p w14:paraId="7CF388BB" w14:textId="02DD122D"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3F0462">
        <w:rPr>
          <w:rFonts w:ascii="Century Gothic" w:hAnsi="Century Gothic" w:cs="Arial"/>
        </w:rPr>
        <w:t>Etzatlán, Jalisco, siendo las 10:00 horas</w:t>
      </w:r>
      <w:r w:rsidRPr="00EF47D5">
        <w:rPr>
          <w:rFonts w:ascii="Century Gothic" w:hAnsi="Century Gothic" w:cs="Arial"/>
        </w:rPr>
        <w:t xml:space="preserve"> del día </w:t>
      </w:r>
      <w:r w:rsidR="003F0462" w:rsidRPr="003F0462">
        <w:rPr>
          <w:rFonts w:ascii="Century Gothic" w:hAnsi="Century Gothic" w:cs="Arial"/>
          <w:color w:val="000000" w:themeColor="text1"/>
        </w:rPr>
        <w:t>17</w:t>
      </w:r>
      <w:r w:rsidRPr="003F0462">
        <w:rPr>
          <w:rFonts w:ascii="Century Gothic" w:hAnsi="Century Gothic" w:cs="Arial"/>
          <w:color w:val="000000" w:themeColor="text1"/>
        </w:rPr>
        <w:t xml:space="preserve"> </w:t>
      </w:r>
      <w:r w:rsidR="00907DCE" w:rsidRPr="003F0462">
        <w:rPr>
          <w:rFonts w:ascii="Century Gothic" w:hAnsi="Century Gothic" w:cs="Arial"/>
          <w:color w:val="000000" w:themeColor="text1"/>
        </w:rPr>
        <w:t xml:space="preserve">del </w:t>
      </w:r>
      <w:r w:rsidR="00A048CD" w:rsidRPr="003F0462">
        <w:rPr>
          <w:rFonts w:ascii="Century Gothic" w:hAnsi="Century Gothic" w:cs="Arial"/>
          <w:color w:val="000000" w:themeColor="text1"/>
        </w:rPr>
        <w:t xml:space="preserve">mes de </w:t>
      </w:r>
      <w:r w:rsidR="003F0462" w:rsidRPr="003F0462">
        <w:rPr>
          <w:rFonts w:ascii="Century Gothic" w:hAnsi="Century Gothic" w:cs="Arial"/>
          <w:color w:val="000000" w:themeColor="text1"/>
        </w:rPr>
        <w:t>Octubre</w:t>
      </w:r>
      <w:r w:rsidR="00A048CD" w:rsidRPr="003F0462">
        <w:rPr>
          <w:rFonts w:ascii="Century Gothic" w:hAnsi="Century Gothic" w:cs="Arial"/>
          <w:color w:val="000000" w:themeColor="text1"/>
        </w:rPr>
        <w:t xml:space="preserve"> del año </w:t>
      </w:r>
      <w:r w:rsidR="003F0462" w:rsidRPr="003F0462">
        <w:rPr>
          <w:rFonts w:ascii="Century Gothic" w:hAnsi="Century Gothic" w:cs="Arial"/>
          <w:color w:val="000000" w:themeColor="text1"/>
        </w:rPr>
        <w:t xml:space="preserve">2018 </w:t>
      </w:r>
      <w:r w:rsidRPr="003F0462">
        <w:rPr>
          <w:rFonts w:ascii="Century Gothic" w:hAnsi="Century Gothic" w:cs="Arial"/>
          <w:color w:val="000000" w:themeColor="text1"/>
        </w:rPr>
        <w:t>dos mil</w:t>
      </w:r>
      <w:r w:rsidR="00363CA6" w:rsidRPr="003F0462">
        <w:rPr>
          <w:rFonts w:ascii="Century Gothic" w:hAnsi="Century Gothic" w:cs="Arial"/>
          <w:color w:val="000000" w:themeColor="text1"/>
        </w:rPr>
        <w:t xml:space="preserve"> </w:t>
      </w:r>
      <w:r w:rsidR="003F0462" w:rsidRPr="003F0462">
        <w:rPr>
          <w:rFonts w:ascii="Century Gothic" w:hAnsi="Century Gothic"/>
        </w:rPr>
        <w:t>dieciocho</w:t>
      </w:r>
      <w:r w:rsidRPr="003F0462">
        <w:rPr>
          <w:rFonts w:ascii="Century Gothic" w:hAnsi="Century Gothic" w:cs="Arial"/>
          <w:color w:val="000000" w:themeColor="text1"/>
        </w:rPr>
        <w:t>, el</w:t>
      </w:r>
      <w:r w:rsidR="003F0462" w:rsidRPr="003F0462">
        <w:rPr>
          <w:rFonts w:ascii="Century Gothic" w:hAnsi="Century Gothic" w:cs="Arial"/>
          <w:color w:val="000000" w:themeColor="text1"/>
        </w:rPr>
        <w:t xml:space="preserve"> I.A.Z. Mario Camarena González Rubio</w:t>
      </w:r>
      <w:r w:rsidRPr="003F0462">
        <w:rPr>
          <w:rFonts w:ascii="Century Gothic" w:hAnsi="Century Gothic" w:cs="Arial"/>
          <w:color w:val="000000" w:themeColor="text1"/>
        </w:rPr>
        <w:t>, en su carácter de</w:t>
      </w:r>
      <w:r w:rsidR="003F0462" w:rsidRPr="003F0462">
        <w:rPr>
          <w:rFonts w:ascii="Century Gothic" w:hAnsi="Century Gothic" w:cs="Arial"/>
          <w:color w:val="000000" w:themeColor="text1"/>
        </w:rPr>
        <w:t xml:space="preserve"> Presidente Municipal de Etzatlán</w:t>
      </w:r>
      <w:r w:rsidRPr="003F0462">
        <w:rPr>
          <w:rFonts w:ascii="Century Gothic" w:hAnsi="Century Gothic" w:cs="Arial"/>
          <w:color w:val="000000" w:themeColor="text1"/>
        </w:rPr>
        <w:t xml:space="preserve">, Jalisco; conforme a lo </w:t>
      </w:r>
      <w:r w:rsidRPr="00EF47D5">
        <w:rPr>
          <w:rFonts w:ascii="Century Gothic" w:hAnsi="Century Gothic" w:cs="Arial"/>
        </w:rPr>
        <w:t xml:space="preserve">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Comité de </w:t>
      </w:r>
      <w:r w:rsidR="00A048CD" w:rsidRPr="00EF47D5">
        <w:rPr>
          <w:rFonts w:ascii="Century Gothic" w:hAnsi="Century Gothic" w:cs="Arial"/>
        </w:rPr>
        <w:t>Transparencia</w:t>
      </w:r>
      <w:r w:rsidRPr="00EF47D5">
        <w:rPr>
          <w:rFonts w:ascii="Century Gothic" w:hAnsi="Century Gothic" w:cs="Arial"/>
        </w:rPr>
        <w:t xml:space="preserve"> del </w:t>
      </w:r>
      <w:r w:rsidR="003405A8" w:rsidRPr="003F0462">
        <w:rPr>
          <w:rFonts w:ascii="Century Gothic" w:hAnsi="Century Gothic" w:cs="Arial"/>
        </w:rPr>
        <w:t xml:space="preserve">Ayuntamiento </w:t>
      </w:r>
      <w:r w:rsidRPr="003F0462">
        <w:rPr>
          <w:rFonts w:ascii="Century Gothic" w:hAnsi="Century Gothic" w:cs="Arial"/>
        </w:rPr>
        <w:t>de</w:t>
      </w:r>
      <w:r w:rsidR="003F0462" w:rsidRPr="003F0462">
        <w:rPr>
          <w:rFonts w:ascii="Century Gothic" w:hAnsi="Century Gothic" w:cs="Arial"/>
        </w:rPr>
        <w:t xml:space="preserve"> Etzatlán</w:t>
      </w:r>
      <w:r w:rsidR="00AC5B10" w:rsidRPr="003F0462">
        <w:rPr>
          <w:rFonts w:ascii="Century Gothic" w:hAnsi="Century Gothic" w:cs="Arial"/>
        </w:rPr>
        <w:t>, J</w:t>
      </w:r>
      <w:r w:rsidR="00AC5B10" w:rsidRPr="00EF47D5">
        <w:rPr>
          <w:rFonts w:ascii="Century Gothic" w:hAnsi="Century Gothic" w:cs="Arial"/>
        </w:rPr>
        <w:t>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w:t>
      </w:r>
      <w:proofErr w:type="gramStart"/>
      <w:r w:rsidRPr="00EF47D5">
        <w:rPr>
          <w:rFonts w:ascii="Century Gothic" w:hAnsi="Century Gothic" w:cs="Arial"/>
        </w:rPr>
        <w:t>por</w:t>
      </w:r>
      <w:proofErr w:type="gramEnd"/>
      <w:r w:rsidRPr="00EF47D5">
        <w:rPr>
          <w:rFonts w:ascii="Century Gothic" w:hAnsi="Century Gothic" w:cs="Arial"/>
        </w:rPr>
        <w:t xml:space="preserve">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682F27C2" w14:textId="77777777"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 xml:space="preserve">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w:t>
      </w:r>
      <w:r w:rsidRPr="00EF47D5">
        <w:rPr>
          <w:rFonts w:ascii="Century Gothic" w:hAnsi="Century Gothic" w:cs="Arial"/>
        </w:rPr>
        <w:lastRenderedPageBreak/>
        <w:t>públicos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06EC7418"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017D1D16" w14:textId="20843450" w:rsidR="00363DBC"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julio;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0AD7AC85" w14:textId="77777777" w:rsidR="00F62E2F" w:rsidRPr="00C75D99" w:rsidRDefault="00F62E2F" w:rsidP="00F62E2F">
      <w:pPr>
        <w:tabs>
          <w:tab w:val="left" w:pos="284"/>
        </w:tabs>
        <w:spacing w:before="240" w:after="240"/>
        <w:jc w:val="both"/>
        <w:outlineLvl w:val="2"/>
        <w:rPr>
          <w:rFonts w:ascii="Century Gothic" w:hAnsi="Century Gothic" w:cs="Arial"/>
        </w:rPr>
      </w:pP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lastRenderedPageBreak/>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6º, de la Constitución Política de los Estados Unidos Mexicanos, reconoce como derecho humano, el derecho a la información y establece los principios y bases que sustentan su ejercicio, además de señalar los límites del 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134597BB" w14:textId="77777777" w:rsidR="008A58B1" w:rsidRPr="005D3ACF" w:rsidRDefault="008A58B1" w:rsidP="008A58B1">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Transparencia y Acceso a la Información Pública, establece que el citado ordenamiento es de orden público y de observancia general en toda la República, reglamentaria del </w:t>
      </w:r>
      <w:r w:rsidRPr="008A58B1">
        <w:rPr>
          <w:rFonts w:ascii="Century Gothic" w:eastAsia="Times New Roman" w:hAnsi="Century Gothic" w:cs="Arial"/>
          <w:lang w:val="es-ES" w:eastAsia="es-ES"/>
        </w:rPr>
        <w:lastRenderedPageBreak/>
        <w:t>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3F0462"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w:t>
      </w:r>
      <w:r w:rsidRPr="003F0462">
        <w:rPr>
          <w:rFonts w:ascii="Century Gothic" w:eastAsia="Times New Roman" w:hAnsi="Century Gothic" w:cs="Arial"/>
          <w:lang w:val="es-ES" w:eastAsia="es-ES"/>
        </w:rPr>
        <w:t xml:space="preserve">términos de lo dispuesto por su artículo 7°, párrafo 1, fracción I. </w:t>
      </w:r>
    </w:p>
    <w:p w14:paraId="6C6D4C3A" w14:textId="5EA93340" w:rsidR="00A048CD" w:rsidRPr="003F0462" w:rsidRDefault="003F0462" w:rsidP="003F0462">
      <w:pPr>
        <w:tabs>
          <w:tab w:val="left" w:pos="426"/>
        </w:tabs>
        <w:spacing w:before="200"/>
        <w:jc w:val="both"/>
        <w:outlineLvl w:val="1"/>
        <w:rPr>
          <w:rFonts w:ascii="Century Gothic" w:eastAsia="Times New Roman" w:hAnsi="Century Gothic" w:cs="Arial"/>
          <w:bCs/>
          <w:lang w:val="es-ES_tradnl" w:eastAsia="es-ES"/>
        </w:rPr>
      </w:pPr>
      <w:r w:rsidRPr="003F0462">
        <w:rPr>
          <w:rFonts w:ascii="Century Gothic" w:eastAsia="Times New Roman" w:hAnsi="Century Gothic" w:cs="Arial"/>
          <w:b/>
          <w:bCs/>
          <w:lang w:val="es-ES_tradnl" w:eastAsia="es-ES"/>
        </w:rPr>
        <w:t>VIII.</w:t>
      </w:r>
      <w:r>
        <w:rPr>
          <w:rFonts w:ascii="Century Gothic" w:eastAsia="Times New Roman" w:hAnsi="Century Gothic" w:cs="Arial"/>
          <w:bCs/>
          <w:lang w:val="es-ES_tradnl" w:eastAsia="es-ES"/>
        </w:rPr>
        <w:t xml:space="preserve"> </w:t>
      </w:r>
      <w:r w:rsidR="00A048CD" w:rsidRPr="003F0462">
        <w:rPr>
          <w:rFonts w:ascii="Century Gothic" w:eastAsia="Times New Roman" w:hAnsi="Century Gothic" w:cs="Arial"/>
          <w:bCs/>
          <w:lang w:val="es-ES_tradnl" w:eastAsia="es-ES"/>
        </w:rPr>
        <w:t>Que tanto la Ley de Transparencia y Acceso a la Información Pública del Estado de Jalisco y sus Municipios</w:t>
      </w:r>
      <w:r w:rsidR="00D27B67" w:rsidRPr="003F0462">
        <w:rPr>
          <w:rFonts w:ascii="Century Gothic" w:eastAsia="Times New Roman" w:hAnsi="Century Gothic" w:cs="Arial"/>
          <w:bCs/>
          <w:lang w:val="es-ES_tradnl" w:eastAsia="es-ES"/>
        </w:rPr>
        <w:t xml:space="preserve"> </w:t>
      </w:r>
      <w:r w:rsidR="00A048CD" w:rsidRPr="003F0462">
        <w:rPr>
          <w:rFonts w:ascii="Century Gothic" w:eastAsia="Times New Roman" w:hAnsi="Century Gothic" w:cs="Arial"/>
          <w:bCs/>
          <w:lang w:val="es-ES_tradnl" w:eastAsia="es-ES"/>
        </w:rPr>
        <w:t>como la Ley General de Transparencia y Acceso a la Información Pública, en sus art</w:t>
      </w:r>
      <w:r w:rsidR="008A58B1" w:rsidRPr="003F0462">
        <w:rPr>
          <w:rFonts w:ascii="Century Gothic" w:eastAsia="Times New Roman" w:hAnsi="Century Gothic" w:cs="Arial"/>
          <w:bCs/>
          <w:lang w:val="es-ES_tradnl" w:eastAsia="es-ES"/>
        </w:rPr>
        <w:t xml:space="preserve">ículos 24 y 23, respectivamente, </w:t>
      </w:r>
      <w:r w:rsidR="00316808" w:rsidRPr="003F0462">
        <w:rPr>
          <w:rFonts w:ascii="Century Gothic" w:eastAsia="Times New Roman" w:hAnsi="Century Gothic" w:cs="Arial"/>
          <w:bCs/>
          <w:lang w:val="es-ES_tradnl" w:eastAsia="es-ES"/>
        </w:rPr>
        <w:t>así como la</w:t>
      </w:r>
      <w:r w:rsidR="008A58B1" w:rsidRPr="003F0462">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3F0462">
        <w:rPr>
          <w:rFonts w:ascii="Century Gothic" w:eastAsia="Times New Roman" w:hAnsi="Century Gothic" w:cs="Arial"/>
          <w:bCs/>
          <w:lang w:val="es-ES_tradnl" w:eastAsia="es-ES"/>
        </w:rPr>
        <w:t>Ley General de Protección de Datos Personales en Posesión de Sujetos Obligados en sus artículos 1</w:t>
      </w:r>
      <w:r w:rsidR="008A58B1" w:rsidRPr="003F0462">
        <w:rPr>
          <w:rFonts w:ascii="Century Gothic" w:eastAsia="Times New Roman" w:hAnsi="Century Gothic" w:cs="Arial"/>
          <w:bCs/>
          <w:lang w:val="es-ES_tradnl" w:eastAsia="es-ES"/>
        </w:rPr>
        <w:t>,</w:t>
      </w:r>
      <w:r w:rsidR="00316808" w:rsidRPr="003F0462">
        <w:rPr>
          <w:rFonts w:ascii="Century Gothic" w:eastAsia="Times New Roman" w:hAnsi="Century Gothic" w:cs="Arial"/>
          <w:bCs/>
          <w:lang w:val="es-ES_tradnl" w:eastAsia="es-ES"/>
        </w:rPr>
        <w:t xml:space="preserve"> </w:t>
      </w:r>
      <w:r w:rsidR="008A58B1" w:rsidRPr="003F0462">
        <w:rPr>
          <w:rFonts w:ascii="Century Gothic" w:eastAsia="Times New Roman" w:hAnsi="Century Gothic" w:cs="Arial"/>
          <w:bCs/>
          <w:lang w:val="es-ES_tradnl" w:eastAsia="es-ES"/>
        </w:rPr>
        <w:t xml:space="preserve">tercer </w:t>
      </w:r>
      <w:r w:rsidR="00316808" w:rsidRPr="003F0462">
        <w:rPr>
          <w:rFonts w:ascii="Century Gothic" w:eastAsia="Times New Roman" w:hAnsi="Century Gothic" w:cs="Arial"/>
          <w:bCs/>
          <w:lang w:val="es-ES_tradnl" w:eastAsia="es-ES"/>
        </w:rPr>
        <w:t>párrafo</w:t>
      </w:r>
      <w:r w:rsidR="008A58B1" w:rsidRPr="003F0462">
        <w:rPr>
          <w:rFonts w:ascii="Century Gothic" w:eastAsia="Times New Roman" w:hAnsi="Century Gothic" w:cs="Arial"/>
          <w:bCs/>
          <w:lang w:val="es-ES_tradnl" w:eastAsia="es-ES"/>
        </w:rPr>
        <w:t xml:space="preserve">, </w:t>
      </w:r>
      <w:r w:rsidR="00316808" w:rsidRPr="003F0462">
        <w:rPr>
          <w:rFonts w:ascii="Century Gothic" w:eastAsia="Times New Roman" w:hAnsi="Century Gothic" w:cs="Arial"/>
          <w:bCs/>
          <w:lang w:val="es-ES_tradnl" w:eastAsia="es-ES"/>
        </w:rPr>
        <w:t>y artículo 1</w:t>
      </w:r>
      <w:r w:rsidR="008A58B1" w:rsidRPr="003F0462">
        <w:rPr>
          <w:rFonts w:ascii="Century Gothic" w:eastAsia="Times New Roman" w:hAnsi="Century Gothic" w:cs="Arial"/>
          <w:bCs/>
          <w:lang w:val="es-ES_tradnl" w:eastAsia="es-ES"/>
        </w:rPr>
        <w:t xml:space="preserve">, quinto </w:t>
      </w:r>
      <w:r w:rsidR="00316808" w:rsidRPr="003F0462">
        <w:rPr>
          <w:rFonts w:ascii="Century Gothic" w:eastAsia="Times New Roman" w:hAnsi="Century Gothic" w:cs="Arial"/>
          <w:bCs/>
          <w:lang w:val="es-ES_tradnl" w:eastAsia="es-ES"/>
        </w:rPr>
        <w:t>párrafo, respectivamente</w:t>
      </w:r>
      <w:r w:rsidR="008A58B1" w:rsidRPr="003F0462">
        <w:rPr>
          <w:rFonts w:ascii="Century Gothic" w:eastAsia="Times New Roman" w:hAnsi="Century Gothic" w:cs="Arial"/>
          <w:bCs/>
          <w:lang w:val="es-ES_tradnl" w:eastAsia="es-ES"/>
        </w:rPr>
        <w:t>,</w:t>
      </w:r>
      <w:r w:rsidR="00316808" w:rsidRPr="003F0462">
        <w:rPr>
          <w:rFonts w:ascii="Century Gothic" w:eastAsia="Times New Roman" w:hAnsi="Century Gothic" w:cs="Arial"/>
          <w:bCs/>
          <w:lang w:val="es-ES_tradnl" w:eastAsia="es-ES"/>
        </w:rPr>
        <w:t xml:space="preserve"> </w:t>
      </w:r>
      <w:r w:rsidR="008A58B1" w:rsidRPr="003F0462">
        <w:rPr>
          <w:rFonts w:ascii="Century Gothic" w:eastAsia="Times New Roman" w:hAnsi="Century Gothic" w:cs="Arial"/>
          <w:bCs/>
          <w:lang w:val="es-ES_tradnl" w:eastAsia="es-ES"/>
        </w:rPr>
        <w:t xml:space="preserve">establecen </w:t>
      </w:r>
      <w:r w:rsidR="00A048CD" w:rsidRPr="003F0462">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3F0462">
        <w:rPr>
          <w:rFonts w:ascii="Century Gothic" w:eastAsia="Times New Roman" w:hAnsi="Century Gothic" w:cs="Arial"/>
          <w:bCs/>
          <w:lang w:val="es-ES_tradnl" w:eastAsia="es-ES"/>
        </w:rPr>
        <w:t>ersonales que obren en su poder, entre los que se en</w:t>
      </w:r>
      <w:r w:rsidRPr="003F0462">
        <w:rPr>
          <w:rFonts w:ascii="Century Gothic" w:eastAsia="Times New Roman" w:hAnsi="Century Gothic" w:cs="Arial"/>
          <w:bCs/>
          <w:lang w:val="es-ES_tradnl" w:eastAsia="es-ES"/>
        </w:rPr>
        <w:t>cuentra el Ayuntamiento de Etzatlán</w:t>
      </w:r>
      <w:r w:rsidR="0054778D" w:rsidRPr="003F0462">
        <w:rPr>
          <w:rFonts w:ascii="Century Gothic" w:eastAsia="Times New Roman" w:hAnsi="Century Gothic" w:cs="Arial"/>
          <w:bCs/>
          <w:lang w:val="es-ES_tradnl" w:eastAsia="es-ES"/>
        </w:rPr>
        <w:t xml:space="preserve">, Jalisco. </w:t>
      </w:r>
    </w:p>
    <w:p w14:paraId="51B64CD5" w14:textId="77777777" w:rsidR="004249A1" w:rsidRPr="00A048CD" w:rsidRDefault="004249A1" w:rsidP="004249A1">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lastRenderedPageBreak/>
        <w:t>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1E126CCD" w14:textId="70A9DF47" w:rsidR="00A048CD"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La Ley de Protección de Datos de Personales en Posesión de Sujetos Obligados del Estado de Jalisco y sus Municipios y la Ley General de Protección de Datos Personales en Posesión de Sujetos Obligados,</w:t>
      </w:r>
      <w:r w:rsidRPr="00EF47D5">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los criterios que se deberán considerar para llevar a cabo la integración de ambos órganos internos de los sujetos obligados.</w:t>
      </w:r>
    </w:p>
    <w:p w14:paraId="37A6F475" w14:textId="32C5B090"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F0462">
        <w:rPr>
          <w:rFonts w:ascii="Century Gothic" w:hAnsi="Century Gothic" w:cs="Arial"/>
        </w:rPr>
        <w:t xml:space="preserve">Ayuntamiento </w:t>
      </w:r>
      <w:r w:rsidR="003F0462" w:rsidRPr="003F0462">
        <w:rPr>
          <w:rFonts w:ascii="Century Gothic" w:hAnsi="Century Gothic" w:cs="Arial"/>
        </w:rPr>
        <w:t xml:space="preserve">de </w:t>
      </w:r>
      <w:r w:rsidR="003F0462">
        <w:rPr>
          <w:rFonts w:ascii="Century Gothic" w:hAnsi="Century Gothic" w:cs="Arial"/>
        </w:rPr>
        <w:t>Etzatlán</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65135BC0" w14:textId="77777777" w:rsidR="003F0462" w:rsidRDefault="003F0462" w:rsidP="003F0462">
      <w:pPr>
        <w:pStyle w:val="Prrafodelista"/>
        <w:spacing w:after="0"/>
        <w:ind w:left="1985"/>
        <w:contextualSpacing w:val="0"/>
        <w:rPr>
          <w:rFonts w:ascii="Century Gothic" w:hAnsi="Century Gothic" w:cs="Arial"/>
          <w:color w:val="FF0000"/>
          <w:lang w:val="es-ES"/>
        </w:rPr>
      </w:pPr>
    </w:p>
    <w:p w14:paraId="75C42857" w14:textId="4177C7E0" w:rsidR="00A534F2" w:rsidRPr="0010584B" w:rsidRDefault="00416CA8"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Pr>
          <w:rFonts w:ascii="Century Gothic" w:hAnsi="Century Gothic" w:cs="Arial"/>
          <w:color w:val="000000" w:themeColor="text1"/>
          <w:lang w:val="es-ES"/>
        </w:rPr>
        <w:lastRenderedPageBreak/>
        <w:t>ING</w:t>
      </w:r>
      <w:r w:rsidR="0010584B" w:rsidRPr="0010584B">
        <w:rPr>
          <w:rFonts w:ascii="Century Gothic" w:hAnsi="Century Gothic" w:cs="Arial"/>
          <w:color w:val="000000" w:themeColor="text1"/>
          <w:lang w:val="es-ES"/>
        </w:rPr>
        <w:t xml:space="preserve">. MARIO CAMARENA GONZÁLEZ RUBIO </w:t>
      </w:r>
    </w:p>
    <w:p w14:paraId="014C7EDB" w14:textId="42A318A4" w:rsidR="00B4379B" w:rsidRPr="0010584B" w:rsidRDefault="003F0462" w:rsidP="00FB4BB1">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Presidente Municipal de Etzatlán</w:t>
      </w:r>
      <w:r w:rsidR="00B4379B" w:rsidRPr="0010584B">
        <w:rPr>
          <w:rFonts w:ascii="Century Gothic" w:hAnsi="Century Gothic" w:cs="Arial"/>
          <w:color w:val="000000" w:themeColor="text1"/>
          <w:lang w:val="es-ES"/>
        </w:rPr>
        <w:t xml:space="preserve">, Jalisco, quien fungirá como Presidente del Comité de </w:t>
      </w:r>
      <w:r w:rsidR="00531DFA" w:rsidRPr="0010584B">
        <w:rPr>
          <w:rFonts w:ascii="Century Gothic" w:hAnsi="Century Gothic" w:cs="Arial"/>
          <w:color w:val="000000" w:themeColor="text1"/>
          <w:lang w:val="es-ES"/>
        </w:rPr>
        <w:t>Transparencia</w:t>
      </w:r>
      <w:r w:rsidR="00B4379B" w:rsidRPr="0010584B">
        <w:rPr>
          <w:rFonts w:ascii="Century Gothic" w:hAnsi="Century Gothic" w:cs="Arial"/>
          <w:color w:val="000000" w:themeColor="text1"/>
          <w:lang w:val="es-ES"/>
        </w:rPr>
        <w:t xml:space="preserve">. </w:t>
      </w:r>
    </w:p>
    <w:p w14:paraId="6EAB44BD" w14:textId="604868F9" w:rsidR="00B4379B" w:rsidRPr="0010584B" w:rsidRDefault="0010584B"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 xml:space="preserve">L.C.C. MIRIAM CONCEPCIÓN MEDINA FLORES  </w:t>
      </w:r>
    </w:p>
    <w:p w14:paraId="3B78F4CE" w14:textId="77777777" w:rsidR="00B4379B" w:rsidRPr="0010584B" w:rsidRDefault="00B4379B" w:rsidP="001C615B">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Titular de la Unidad de Transparencia, quien fungirá como Secretario del Comité</w:t>
      </w:r>
      <w:r w:rsidR="00531DFA" w:rsidRPr="0010584B">
        <w:rPr>
          <w:rFonts w:ascii="Century Gothic" w:hAnsi="Century Gothic" w:cs="Arial"/>
          <w:color w:val="000000" w:themeColor="text1"/>
          <w:lang w:val="es-ES"/>
        </w:rPr>
        <w:t xml:space="preserve"> Transparencia</w:t>
      </w:r>
      <w:r w:rsidRPr="0010584B">
        <w:rPr>
          <w:rFonts w:ascii="Century Gothic" w:hAnsi="Century Gothic" w:cs="Arial"/>
          <w:color w:val="000000" w:themeColor="text1"/>
          <w:lang w:val="es-ES"/>
        </w:rPr>
        <w:t xml:space="preserve">. </w:t>
      </w:r>
    </w:p>
    <w:p w14:paraId="2A5468AA" w14:textId="62B1BFA3" w:rsidR="00B4379B" w:rsidRPr="0010584B" w:rsidRDefault="0010584B"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L.C.P. IRENE MAGALI ARQUIERTA GONZÁLEZ</w:t>
      </w:r>
    </w:p>
    <w:p w14:paraId="034015D5" w14:textId="77777777" w:rsidR="00B4379B" w:rsidRPr="0010584B" w:rsidRDefault="003049F0" w:rsidP="001C615B">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 xml:space="preserve">Contralor Municipal, </w:t>
      </w:r>
      <w:r w:rsidR="00B4379B" w:rsidRPr="0010584B">
        <w:rPr>
          <w:rFonts w:ascii="Century Gothic" w:hAnsi="Century Gothic" w:cs="Arial"/>
          <w:color w:val="000000" w:themeColor="text1"/>
          <w:lang w:val="es-ES"/>
        </w:rPr>
        <w:t xml:space="preserve">integrante del Comité de </w:t>
      </w:r>
      <w:r w:rsidR="00531DFA" w:rsidRPr="0010584B">
        <w:rPr>
          <w:rFonts w:ascii="Century Gothic" w:hAnsi="Century Gothic" w:cs="Arial"/>
          <w:color w:val="000000" w:themeColor="text1"/>
          <w:lang w:val="es-ES"/>
        </w:rPr>
        <w:t xml:space="preserve">Transparencia </w:t>
      </w:r>
      <w:r w:rsidR="00B4379B" w:rsidRPr="0010584B">
        <w:rPr>
          <w:rFonts w:ascii="Century Gothic" w:hAnsi="Century Gothic" w:cs="Arial"/>
          <w:color w:val="000000" w:themeColor="text1"/>
          <w:lang w:val="es-ES"/>
        </w:rPr>
        <w:t>en funciones del órgano de control Interno</w:t>
      </w:r>
      <w:r w:rsidR="00992CBD" w:rsidRPr="0010584B">
        <w:rPr>
          <w:rFonts w:ascii="Century Gothic" w:hAnsi="Century Gothic" w:cs="Arial"/>
          <w:color w:val="000000" w:themeColor="text1"/>
          <w:lang w:val="es-ES"/>
        </w:rPr>
        <w:t xml:space="preserve">. </w:t>
      </w:r>
    </w:p>
    <w:p w14:paraId="17BEDA28" w14:textId="77777777" w:rsidR="00416CA8" w:rsidRDefault="00416CA8" w:rsidP="00EF47D5">
      <w:pPr>
        <w:spacing w:before="280" w:after="280"/>
        <w:jc w:val="center"/>
        <w:outlineLvl w:val="0"/>
        <w:rPr>
          <w:rFonts w:ascii="Century Gothic" w:hAnsi="Century Gothic" w:cs="Arial"/>
          <w:color w:val="FF0000"/>
          <w:lang w:val="es-ES"/>
        </w:rPr>
      </w:pPr>
    </w:p>
    <w:p w14:paraId="07537184" w14:textId="77777777"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273679F8" w14:textId="00C0C92B" w:rsidR="00A534F2" w:rsidRPr="00EF47D5" w:rsidRDefault="00A534F2" w:rsidP="004249A1">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74B01E61" w:rsidR="000716D1" w:rsidRDefault="00A534F2" w:rsidP="00EF47D5">
      <w:pPr>
        <w:spacing w:before="200"/>
        <w:jc w:val="both"/>
        <w:rPr>
          <w:rFonts w:ascii="Century Gothic" w:hAnsi="Century Gothic" w:cs="Arial"/>
        </w:rPr>
      </w:pPr>
      <w:r w:rsidRPr="00EF47D5">
        <w:rPr>
          <w:rFonts w:ascii="Century Gothic" w:hAnsi="Century Gothic" w:cs="Arial"/>
          <w:b/>
        </w:rPr>
        <w:lastRenderedPageBreak/>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10584B">
        <w:rPr>
          <w:rFonts w:ascii="Century Gothic" w:hAnsi="Century Gothic" w:cs="Arial"/>
        </w:rPr>
        <w:t xml:space="preserve">del </w:t>
      </w:r>
      <w:r w:rsidR="003405A8" w:rsidRPr="0010584B">
        <w:rPr>
          <w:rFonts w:ascii="Century Gothic" w:hAnsi="Century Gothic" w:cs="Arial"/>
        </w:rPr>
        <w:t xml:space="preserve">Ayuntamiento </w:t>
      </w:r>
      <w:r w:rsidR="0010584B" w:rsidRPr="0010584B">
        <w:rPr>
          <w:rFonts w:ascii="Century Gothic" w:hAnsi="Century Gothic" w:cs="Arial"/>
        </w:rPr>
        <w:t>de Etzatlán</w:t>
      </w:r>
      <w:r w:rsidR="003E7A18" w:rsidRPr="0010584B">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52F55E9D" w14:textId="732E3BC7" w:rsidR="00FD5B9D" w:rsidRPr="006D7E05" w:rsidRDefault="00521D07" w:rsidP="00EF47D5">
      <w:pPr>
        <w:spacing w:before="200"/>
        <w:jc w:val="both"/>
        <w:rPr>
          <w:rFonts w:ascii="Century Gothic" w:hAnsi="Century Gothic" w:cs="Arial"/>
          <w:lang w:val="es-ES"/>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6D7E05">
        <w:rPr>
          <w:rFonts w:ascii="Century Gothic" w:hAnsi="Century Gothic" w:cs="Arial"/>
        </w:rPr>
        <w:t xml:space="preserve"> </w:t>
      </w:r>
      <w:r w:rsidR="006D7E05" w:rsidRPr="006D7E05">
        <w:rPr>
          <w:rFonts w:ascii="Century Gothic" w:hAnsi="Century Gothic" w:cs="Arial"/>
        </w:rPr>
        <w:t>I.A.Z. MARIO CAMARENA GONZÁLEZ RUBIO</w:t>
      </w:r>
      <w:r w:rsidR="00BD191C" w:rsidRPr="00EF47D5">
        <w:rPr>
          <w:rFonts w:ascii="Century Gothic" w:hAnsi="Century Gothic" w:cs="Arial"/>
        </w:rPr>
        <w:t xml:space="preserve">, Presidente Municipal, en unión con los integrantes del Comité de Transparencia del </w:t>
      </w:r>
      <w:r w:rsidR="003405A8" w:rsidRPr="006D7E05">
        <w:rPr>
          <w:rFonts w:ascii="Century Gothic" w:hAnsi="Century Gothic" w:cs="Arial"/>
        </w:rPr>
        <w:t>Ayuntamiento</w:t>
      </w:r>
      <w:r w:rsidR="006D7E05" w:rsidRPr="006D7E05">
        <w:rPr>
          <w:rFonts w:ascii="Century Gothic" w:hAnsi="Century Gothic" w:cs="Arial"/>
        </w:rPr>
        <w:t xml:space="preserve"> de Etzatlán</w:t>
      </w:r>
      <w:r w:rsidR="00FD5B9D" w:rsidRPr="006D7E05">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2A3B944A" w14:textId="77777777"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27C66DBA"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6D7E05">
        <w:rPr>
          <w:rFonts w:ascii="Century Gothic" w:hAnsi="Century Gothic" w:cs="Arial"/>
        </w:rPr>
        <w:t>Ayuntamiento</w:t>
      </w:r>
      <w:r w:rsidR="00A534F2" w:rsidRPr="006D7E05">
        <w:rPr>
          <w:rFonts w:ascii="Century Gothic" w:hAnsi="Century Gothic" w:cs="Arial"/>
        </w:rPr>
        <w:t xml:space="preserve"> de </w:t>
      </w:r>
      <w:r w:rsidR="006D7E05" w:rsidRPr="006D7E05">
        <w:rPr>
          <w:rFonts w:ascii="Century Gothic" w:hAnsi="Century Gothic" w:cs="Arial"/>
        </w:rPr>
        <w:t>Etzatlán</w:t>
      </w:r>
      <w:r w:rsidR="00A534F2" w:rsidRPr="006D7E05">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7CA8229F" w14:textId="010BB38B" w:rsidR="00A534F2" w:rsidRPr="00EF47D5" w:rsidRDefault="00A534F2" w:rsidP="00EF47D5">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416CA8">
        <w:rPr>
          <w:rFonts w:ascii="Century Gothic" w:hAnsi="Century Gothic" w:cs="Arial"/>
        </w:rPr>
        <w:t xml:space="preserve">Ayuntamiento </w:t>
      </w:r>
      <w:r w:rsidR="00416CA8" w:rsidRPr="00416CA8">
        <w:rPr>
          <w:rFonts w:ascii="Century Gothic" w:hAnsi="Century Gothic" w:cs="Arial"/>
        </w:rPr>
        <w:t>de Etzatlán, Jalisco</w:t>
      </w:r>
      <w:r w:rsidR="00F2545B" w:rsidRPr="00416CA8">
        <w:rPr>
          <w:rFonts w:ascii="Century Gothic" w:hAnsi="Century Gothic" w:cs="Arial"/>
        </w:rPr>
        <w:t>, Jalisco</w:t>
      </w:r>
      <w:r w:rsidR="00416CA8">
        <w:rPr>
          <w:rFonts w:ascii="Century Gothic" w:hAnsi="Century Gothic" w:cs="Arial"/>
        </w:rPr>
        <w:t>, el día 17</w:t>
      </w:r>
      <w:r w:rsidR="00F2545B" w:rsidRPr="00EF47D5">
        <w:rPr>
          <w:rFonts w:ascii="Century Gothic" w:hAnsi="Century Gothic" w:cs="Arial"/>
        </w:rPr>
        <w:t xml:space="preserve"> </w:t>
      </w:r>
      <w:r w:rsidRPr="00EF47D5">
        <w:rPr>
          <w:rFonts w:ascii="Century Gothic" w:hAnsi="Century Gothic" w:cs="Arial"/>
        </w:rPr>
        <w:t xml:space="preserve">de </w:t>
      </w:r>
      <w:r w:rsidR="00416CA8">
        <w:rPr>
          <w:rFonts w:ascii="Century Gothic" w:hAnsi="Century Gothic" w:cs="Arial"/>
        </w:rPr>
        <w:t>Octubre</w:t>
      </w:r>
      <w:r w:rsidR="002748EA" w:rsidRPr="00EF47D5">
        <w:rPr>
          <w:rFonts w:ascii="Century Gothic" w:hAnsi="Century Gothic" w:cs="Arial"/>
        </w:rPr>
        <w:t xml:space="preserve"> </w:t>
      </w:r>
      <w:r w:rsidR="00F2545B" w:rsidRPr="00EF47D5">
        <w:rPr>
          <w:rFonts w:ascii="Century Gothic" w:hAnsi="Century Gothic" w:cs="Arial"/>
        </w:rPr>
        <w:t>del año 201</w:t>
      </w:r>
      <w:r w:rsidR="006D35EF">
        <w:rPr>
          <w:rFonts w:ascii="Century Gothic" w:hAnsi="Century Gothic" w:cs="Arial"/>
        </w:rPr>
        <w:t>8</w:t>
      </w:r>
      <w:r w:rsidR="00F2545B" w:rsidRPr="00EF47D5">
        <w:rPr>
          <w:rFonts w:ascii="Century Gothic" w:hAnsi="Century Gothic" w:cs="Arial"/>
        </w:rPr>
        <w:t xml:space="preserve"> dos mil</w:t>
      </w:r>
      <w:r w:rsidR="002748EA" w:rsidRPr="00EF47D5">
        <w:rPr>
          <w:rFonts w:ascii="Century Gothic" w:hAnsi="Century Gothic" w:cs="Arial"/>
        </w:rPr>
        <w:t xml:space="preserve"> </w:t>
      </w:r>
      <w:r w:rsidR="006D35EF">
        <w:rPr>
          <w:rFonts w:ascii="Century Gothic" w:hAnsi="Century Gothic" w:cs="Arial"/>
        </w:rPr>
        <w:t>dieciocho.</w:t>
      </w:r>
    </w:p>
    <w:p w14:paraId="59451AA2" w14:textId="77777777" w:rsidR="00C55B29" w:rsidRPr="00EF47D5" w:rsidRDefault="00C55B29" w:rsidP="00EF47D5">
      <w:pPr>
        <w:spacing w:before="200"/>
        <w:jc w:val="center"/>
        <w:rPr>
          <w:rFonts w:ascii="Century Gothic" w:hAnsi="Century Gothic" w:cs="Arial"/>
          <w:b/>
          <w:lang w:val="es-ES"/>
        </w:rPr>
      </w:pPr>
    </w:p>
    <w:p w14:paraId="4B1B8FD8" w14:textId="77777777" w:rsidR="002748EA" w:rsidRPr="00EF47D5" w:rsidRDefault="002748EA" w:rsidP="00EF47D5">
      <w:pPr>
        <w:spacing w:after="0"/>
        <w:jc w:val="center"/>
        <w:rPr>
          <w:rFonts w:ascii="Century Gothic" w:hAnsi="Century Gothic" w:cs="Arial"/>
          <w:b/>
          <w:lang w:val="es-ES"/>
        </w:rPr>
      </w:pPr>
    </w:p>
    <w:p w14:paraId="549F300D" w14:textId="77777777" w:rsidR="002748EA" w:rsidRPr="00EF47D5" w:rsidRDefault="002748EA" w:rsidP="00EF47D5">
      <w:pPr>
        <w:spacing w:after="0"/>
        <w:jc w:val="center"/>
        <w:rPr>
          <w:rFonts w:ascii="Century Gothic" w:hAnsi="Century Gothic" w:cs="Arial"/>
          <w:b/>
          <w:lang w:val="es-ES"/>
        </w:rPr>
      </w:pPr>
    </w:p>
    <w:p w14:paraId="00093751" w14:textId="56B83B40" w:rsidR="00416CA8" w:rsidRPr="00416CA8" w:rsidRDefault="00416CA8" w:rsidP="00416CA8">
      <w:pPr>
        <w:spacing w:after="0"/>
        <w:jc w:val="center"/>
        <w:rPr>
          <w:rFonts w:ascii="Century Gothic" w:hAnsi="Century Gothic" w:cs="Arial"/>
          <w:b/>
          <w:lang w:val="es-ES"/>
        </w:rPr>
      </w:pPr>
      <w:r w:rsidRPr="00416CA8">
        <w:rPr>
          <w:rFonts w:ascii="Century Gothic" w:hAnsi="Century Gothic" w:cs="Arial"/>
          <w:b/>
          <w:lang w:val="es-ES"/>
        </w:rPr>
        <w:t>ING. MARIO CAMARENA GONZÁLEZ RUBIO</w:t>
      </w:r>
    </w:p>
    <w:p w14:paraId="68E0F5DD" w14:textId="72F1BC4B" w:rsidR="003049F0" w:rsidRPr="00416CA8" w:rsidRDefault="00416CA8" w:rsidP="00416CA8">
      <w:pPr>
        <w:pStyle w:val="Prrafodelista"/>
        <w:ind w:left="1985"/>
        <w:contextualSpacing w:val="0"/>
        <w:rPr>
          <w:rFonts w:ascii="Century Gothic" w:hAnsi="Century Gothic" w:cs="Arial"/>
          <w:color w:val="000000" w:themeColor="text1"/>
          <w:lang w:val="es-ES"/>
        </w:rPr>
      </w:pPr>
      <w:r>
        <w:rPr>
          <w:rFonts w:ascii="Century Gothic" w:hAnsi="Century Gothic" w:cs="Arial"/>
          <w:color w:val="000000" w:themeColor="text1"/>
          <w:lang w:val="es-ES"/>
        </w:rPr>
        <w:t xml:space="preserve">    </w:t>
      </w:r>
      <w:r w:rsidRPr="0010584B">
        <w:rPr>
          <w:rFonts w:ascii="Century Gothic" w:hAnsi="Century Gothic" w:cs="Arial"/>
          <w:color w:val="000000" w:themeColor="text1"/>
          <w:lang w:val="es-ES"/>
        </w:rPr>
        <w:t>Presidente del Comité de Transparencia.</w:t>
      </w:r>
    </w:p>
    <w:p w14:paraId="1D7D7331" w14:textId="77777777" w:rsidR="00C55B29" w:rsidRPr="00EF47D5" w:rsidRDefault="00C55B29" w:rsidP="00416CA8">
      <w:pPr>
        <w:spacing w:after="0"/>
        <w:jc w:val="center"/>
        <w:rPr>
          <w:rFonts w:ascii="Century Gothic" w:hAnsi="Century Gothic" w:cs="Arial"/>
          <w:b/>
          <w:lang w:val="es-ES"/>
        </w:rPr>
      </w:pPr>
    </w:p>
    <w:p w14:paraId="70B8EF1F" w14:textId="77777777" w:rsidR="00A534F2" w:rsidRPr="00EF47D5" w:rsidRDefault="00A534F2" w:rsidP="00416CA8">
      <w:pPr>
        <w:spacing w:after="0"/>
        <w:jc w:val="center"/>
        <w:rPr>
          <w:rFonts w:ascii="Century Gothic" w:hAnsi="Century Gothic" w:cs="Arial"/>
          <w:b/>
          <w:lang w:val="es-ES"/>
        </w:rPr>
      </w:pPr>
    </w:p>
    <w:p w14:paraId="01BA6DAE" w14:textId="4541EBE9" w:rsidR="000539F9" w:rsidRPr="00EF47D5" w:rsidRDefault="00416CA8" w:rsidP="00416CA8">
      <w:pPr>
        <w:pStyle w:val="Prrafodelista"/>
        <w:spacing w:after="0"/>
        <w:ind w:left="1985"/>
        <w:contextualSpacing w:val="0"/>
        <w:rPr>
          <w:rFonts w:ascii="Century Gothic" w:hAnsi="Century Gothic" w:cs="Arial"/>
          <w:b/>
          <w:lang w:val="es-ES"/>
        </w:rPr>
      </w:pPr>
      <w:r w:rsidRPr="00416CA8">
        <w:rPr>
          <w:rFonts w:ascii="Century Gothic" w:hAnsi="Century Gothic" w:cs="Arial"/>
          <w:b/>
          <w:lang w:val="es-ES"/>
        </w:rPr>
        <w:t>L.C.C. MIRIAM CONCEPCIÓN MEDINA FLORES</w:t>
      </w:r>
    </w:p>
    <w:p w14:paraId="085D4CEE" w14:textId="77777777" w:rsidR="00A534F2" w:rsidRPr="00416CA8" w:rsidRDefault="00A534F2" w:rsidP="00416CA8">
      <w:pPr>
        <w:spacing w:after="0"/>
        <w:jc w:val="center"/>
        <w:rPr>
          <w:rFonts w:ascii="Century Gothic" w:hAnsi="Century Gothic" w:cs="Arial"/>
          <w:color w:val="000000" w:themeColor="text1"/>
          <w:lang w:val="es-ES"/>
        </w:rPr>
      </w:pPr>
      <w:r w:rsidRPr="00416CA8">
        <w:rPr>
          <w:rFonts w:ascii="Century Gothic" w:hAnsi="Century Gothic" w:cs="Arial"/>
          <w:color w:val="000000" w:themeColor="text1"/>
          <w:lang w:val="es-ES"/>
        </w:rPr>
        <w:t>Secretario del Comité de</w:t>
      </w:r>
      <w:r w:rsidR="002748EA" w:rsidRPr="00416CA8">
        <w:rPr>
          <w:rFonts w:ascii="Century Gothic" w:hAnsi="Century Gothic" w:cs="Arial"/>
          <w:color w:val="000000" w:themeColor="text1"/>
          <w:lang w:val="es-ES"/>
        </w:rPr>
        <w:t xml:space="preserve"> Transparencia</w:t>
      </w:r>
    </w:p>
    <w:p w14:paraId="7E5CF19E" w14:textId="77777777" w:rsidR="003049F0" w:rsidRPr="00416CA8" w:rsidRDefault="003049F0" w:rsidP="00416CA8">
      <w:pPr>
        <w:spacing w:after="0"/>
        <w:jc w:val="center"/>
        <w:rPr>
          <w:rFonts w:ascii="Century Gothic" w:hAnsi="Century Gothic" w:cs="Arial"/>
          <w:color w:val="000000" w:themeColor="text1"/>
          <w:lang w:val="es-ES"/>
        </w:rPr>
      </w:pPr>
    </w:p>
    <w:p w14:paraId="4EAE2C37" w14:textId="77777777" w:rsidR="000539F9" w:rsidRDefault="000539F9" w:rsidP="00EF47D5">
      <w:pPr>
        <w:spacing w:after="0"/>
        <w:jc w:val="center"/>
        <w:rPr>
          <w:rFonts w:ascii="Century Gothic" w:hAnsi="Century Gothic" w:cs="Arial"/>
          <w:b/>
          <w:lang w:val="es-ES"/>
        </w:rPr>
      </w:pPr>
    </w:p>
    <w:p w14:paraId="01656BFF" w14:textId="77777777" w:rsidR="00416CA8" w:rsidRDefault="00416CA8" w:rsidP="00EF47D5">
      <w:pPr>
        <w:spacing w:after="0"/>
        <w:jc w:val="center"/>
        <w:rPr>
          <w:rFonts w:ascii="Century Gothic" w:hAnsi="Century Gothic" w:cs="Arial"/>
          <w:b/>
          <w:lang w:val="es-ES"/>
        </w:rPr>
      </w:pPr>
    </w:p>
    <w:p w14:paraId="05E6D43D" w14:textId="0368D160" w:rsidR="00416CA8" w:rsidRPr="00416CA8" w:rsidRDefault="00416CA8" w:rsidP="00416CA8">
      <w:pPr>
        <w:spacing w:after="0"/>
        <w:jc w:val="center"/>
        <w:rPr>
          <w:rFonts w:ascii="Century Gothic" w:hAnsi="Century Gothic" w:cs="Arial"/>
          <w:b/>
          <w:lang w:val="es-ES"/>
        </w:rPr>
      </w:pPr>
      <w:r>
        <w:rPr>
          <w:rFonts w:ascii="Century Gothic" w:hAnsi="Century Gothic" w:cs="Arial"/>
          <w:color w:val="000000" w:themeColor="text1"/>
          <w:lang w:val="es-ES"/>
        </w:rPr>
        <w:t xml:space="preserve">     </w:t>
      </w:r>
      <w:r w:rsidRPr="00416CA8">
        <w:rPr>
          <w:rFonts w:ascii="Century Gothic" w:hAnsi="Century Gothic" w:cs="Arial"/>
          <w:b/>
          <w:lang w:val="es-ES"/>
        </w:rPr>
        <w:t>L.C.P. IRENE MAGALI ARQUIERTA GONZÁLEZ</w:t>
      </w:r>
    </w:p>
    <w:p w14:paraId="1110E5C8" w14:textId="12D908E3" w:rsidR="00A534F2" w:rsidRPr="00416CA8" w:rsidRDefault="00416CA8" w:rsidP="00416CA8">
      <w:pPr>
        <w:spacing w:after="0"/>
        <w:rPr>
          <w:rFonts w:ascii="Century Gothic" w:hAnsi="Century Gothic" w:cs="Arial"/>
          <w:color w:val="000000" w:themeColor="text1"/>
          <w:lang w:val="es-ES"/>
        </w:rPr>
      </w:pPr>
      <w:r>
        <w:rPr>
          <w:rFonts w:ascii="Century Gothic" w:hAnsi="Century Gothic" w:cs="Arial"/>
          <w:b/>
          <w:lang w:val="es-ES"/>
        </w:rPr>
        <w:t xml:space="preserve">                     </w:t>
      </w:r>
      <w:bookmarkStart w:id="0" w:name="_GoBack"/>
      <w:bookmarkEnd w:id="0"/>
      <w:r w:rsidR="000E340A" w:rsidRPr="00416CA8">
        <w:rPr>
          <w:rFonts w:ascii="Century Gothic" w:hAnsi="Century Gothic" w:cs="Arial"/>
          <w:color w:val="000000" w:themeColor="text1"/>
          <w:lang w:val="es-ES"/>
        </w:rPr>
        <w:t xml:space="preserve">Contralor Municipal, integrante del Comité de </w:t>
      </w:r>
      <w:r w:rsidR="002748EA" w:rsidRPr="00416CA8">
        <w:rPr>
          <w:rFonts w:ascii="Century Gothic" w:hAnsi="Century Gothic" w:cs="Arial"/>
          <w:color w:val="000000" w:themeColor="text1"/>
          <w:lang w:val="es-ES"/>
        </w:rPr>
        <w:t>Transparencia</w:t>
      </w:r>
      <w:r w:rsidR="000E340A" w:rsidRPr="00416CA8">
        <w:rPr>
          <w:rFonts w:ascii="Century Gothic" w:hAnsi="Century Gothic" w:cs="Arial"/>
          <w:color w:val="000000" w:themeColor="text1"/>
          <w:lang w:val="es-ES"/>
        </w:rPr>
        <w:t xml:space="preserve"> </w:t>
      </w:r>
    </w:p>
    <w:sectPr w:rsidR="00A534F2" w:rsidRPr="00416CA8" w:rsidSect="001C615B">
      <w:headerReference w:type="default" r:id="rId9"/>
      <w:footerReference w:type="default" r:id="rId10"/>
      <w:pgSz w:w="12240" w:h="15840"/>
      <w:pgMar w:top="1417" w:right="1701" w:bottom="1417" w:left="1701" w:header="708" w:footer="87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C068A" w15:done="0"/>
  <w15:commentEx w15:paraId="38A390F5" w15:done="0"/>
  <w15:commentEx w15:paraId="75FCE303" w15:done="0"/>
  <w15:commentEx w15:paraId="026E8693" w15:done="0"/>
  <w15:commentEx w15:paraId="019DEC65" w15:done="0"/>
  <w15:commentEx w15:paraId="2C8D6A76" w15:done="0"/>
  <w15:commentEx w15:paraId="22828D60" w15:done="0"/>
  <w15:commentEx w15:paraId="05765593" w15:done="0"/>
  <w15:commentEx w15:paraId="27BDA2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9CA7" w14:textId="77777777" w:rsidR="005D4358" w:rsidRDefault="005D4358" w:rsidP="00A534F2">
      <w:pPr>
        <w:spacing w:after="0" w:line="240" w:lineRule="auto"/>
      </w:pPr>
      <w:r>
        <w:separator/>
      </w:r>
    </w:p>
  </w:endnote>
  <w:endnote w:type="continuationSeparator" w:id="0">
    <w:p w14:paraId="2419F211" w14:textId="77777777" w:rsidR="005D4358" w:rsidRDefault="005D4358"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8BCC" w14:textId="77777777"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416CA8">
      <w:rPr>
        <w:rFonts w:ascii="Century Gothic" w:hAnsi="Century Gothic" w:cs="Arial"/>
        <w:noProof/>
        <w:sz w:val="18"/>
      </w:rPr>
      <w:t>7</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416CA8">
      <w:rPr>
        <w:rFonts w:ascii="Century Gothic" w:hAnsi="Century Gothic" w:cs="Arial"/>
        <w:noProof/>
        <w:sz w:val="18"/>
      </w:rPr>
      <w:t>7</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91C7" w14:textId="77777777" w:rsidR="005D4358" w:rsidRDefault="005D4358" w:rsidP="00A534F2">
      <w:pPr>
        <w:spacing w:after="0" w:line="240" w:lineRule="auto"/>
      </w:pPr>
      <w:r>
        <w:separator/>
      </w:r>
    </w:p>
  </w:footnote>
  <w:footnote w:type="continuationSeparator" w:id="0">
    <w:p w14:paraId="3AEBDB7A" w14:textId="77777777" w:rsidR="005D4358" w:rsidRDefault="005D4358" w:rsidP="00A5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C512" w14:textId="77777777" w:rsidR="00472680" w:rsidRPr="00A534F2" w:rsidRDefault="00472680">
    <w:pPr>
      <w:pStyle w:val="Encabezado"/>
      <w:rPr>
        <w:color w:val="FF0000"/>
      </w:rPr>
    </w:pPr>
    <w:r>
      <w:rPr>
        <w:color w:val="FF0000"/>
      </w:rPr>
      <w:t>MEMBRETE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3C3ABD"/>
    <w:multiLevelType w:val="hybridMultilevel"/>
    <w:tmpl w:val="88EAF7C4"/>
    <w:lvl w:ilvl="0" w:tplc="AA9A84E0">
      <w:start w:val="1"/>
      <w:numFmt w:val="upperRoman"/>
      <w:lvlText w:val="%1."/>
      <w:lvlJc w:val="left"/>
      <w:pPr>
        <w:ind w:left="502"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em Arauza">
    <w15:presenceInfo w15:providerId="AD" w15:userId="S-1-5-21-3612108699-3944204875-3779173712-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2"/>
    <w:rsid w:val="000539F9"/>
    <w:rsid w:val="0005795E"/>
    <w:rsid w:val="000716D1"/>
    <w:rsid w:val="000E340A"/>
    <w:rsid w:val="0010584B"/>
    <w:rsid w:val="001140F7"/>
    <w:rsid w:val="001530A3"/>
    <w:rsid w:val="001C615B"/>
    <w:rsid w:val="002302C4"/>
    <w:rsid w:val="002748EA"/>
    <w:rsid w:val="00274F56"/>
    <w:rsid w:val="0027589A"/>
    <w:rsid w:val="002B0179"/>
    <w:rsid w:val="002D7F4B"/>
    <w:rsid w:val="002E5EDE"/>
    <w:rsid w:val="003049F0"/>
    <w:rsid w:val="00316808"/>
    <w:rsid w:val="003405A8"/>
    <w:rsid w:val="0035591A"/>
    <w:rsid w:val="00363CA6"/>
    <w:rsid w:val="00363DBC"/>
    <w:rsid w:val="003875A6"/>
    <w:rsid w:val="003B226A"/>
    <w:rsid w:val="003C39FB"/>
    <w:rsid w:val="003C3D17"/>
    <w:rsid w:val="003E7A18"/>
    <w:rsid w:val="003F0462"/>
    <w:rsid w:val="0040002D"/>
    <w:rsid w:val="004119F2"/>
    <w:rsid w:val="00416CA8"/>
    <w:rsid w:val="0042287F"/>
    <w:rsid w:val="004249A1"/>
    <w:rsid w:val="00461981"/>
    <w:rsid w:val="00472680"/>
    <w:rsid w:val="00496CB6"/>
    <w:rsid w:val="004A38DB"/>
    <w:rsid w:val="005001B9"/>
    <w:rsid w:val="005012D2"/>
    <w:rsid w:val="005148BE"/>
    <w:rsid w:val="00521D07"/>
    <w:rsid w:val="00531DFA"/>
    <w:rsid w:val="0054778D"/>
    <w:rsid w:val="00562864"/>
    <w:rsid w:val="005A2A3D"/>
    <w:rsid w:val="005C77E2"/>
    <w:rsid w:val="005D4358"/>
    <w:rsid w:val="005F0716"/>
    <w:rsid w:val="005F0A42"/>
    <w:rsid w:val="006061D4"/>
    <w:rsid w:val="0062387D"/>
    <w:rsid w:val="0066779D"/>
    <w:rsid w:val="00684595"/>
    <w:rsid w:val="006D35EF"/>
    <w:rsid w:val="006D7E05"/>
    <w:rsid w:val="006E6582"/>
    <w:rsid w:val="007248CE"/>
    <w:rsid w:val="00746D61"/>
    <w:rsid w:val="007663A7"/>
    <w:rsid w:val="0086761D"/>
    <w:rsid w:val="00870BAE"/>
    <w:rsid w:val="0089310C"/>
    <w:rsid w:val="008A0AED"/>
    <w:rsid w:val="008A2B7B"/>
    <w:rsid w:val="008A58B1"/>
    <w:rsid w:val="008C457B"/>
    <w:rsid w:val="008D6DB8"/>
    <w:rsid w:val="00907DCE"/>
    <w:rsid w:val="0091168F"/>
    <w:rsid w:val="009127EB"/>
    <w:rsid w:val="00944C3F"/>
    <w:rsid w:val="0094676C"/>
    <w:rsid w:val="009839E4"/>
    <w:rsid w:val="00992CBD"/>
    <w:rsid w:val="00A048CD"/>
    <w:rsid w:val="00A2213D"/>
    <w:rsid w:val="00A534F2"/>
    <w:rsid w:val="00A70CC2"/>
    <w:rsid w:val="00AC5B10"/>
    <w:rsid w:val="00AD77E1"/>
    <w:rsid w:val="00AF1534"/>
    <w:rsid w:val="00B4379B"/>
    <w:rsid w:val="00B706B6"/>
    <w:rsid w:val="00B81101"/>
    <w:rsid w:val="00BD191C"/>
    <w:rsid w:val="00C55B29"/>
    <w:rsid w:val="00C707BB"/>
    <w:rsid w:val="00C75D99"/>
    <w:rsid w:val="00C76BE1"/>
    <w:rsid w:val="00C81233"/>
    <w:rsid w:val="00CD3CD2"/>
    <w:rsid w:val="00CD4187"/>
    <w:rsid w:val="00CE35A2"/>
    <w:rsid w:val="00CE4822"/>
    <w:rsid w:val="00CE48E1"/>
    <w:rsid w:val="00CF5698"/>
    <w:rsid w:val="00D27B67"/>
    <w:rsid w:val="00D75F17"/>
    <w:rsid w:val="00D8065D"/>
    <w:rsid w:val="00D91184"/>
    <w:rsid w:val="00DA0840"/>
    <w:rsid w:val="00DC4491"/>
    <w:rsid w:val="00DD14F6"/>
    <w:rsid w:val="00E32228"/>
    <w:rsid w:val="00E353F2"/>
    <w:rsid w:val="00E84EBC"/>
    <w:rsid w:val="00EB07B1"/>
    <w:rsid w:val="00EC1CFE"/>
    <w:rsid w:val="00EF47D5"/>
    <w:rsid w:val="00F128BF"/>
    <w:rsid w:val="00F237C3"/>
    <w:rsid w:val="00F2545B"/>
    <w:rsid w:val="00F62E2F"/>
    <w:rsid w:val="00FB4BB1"/>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 w:type="character" w:styleId="nfasis">
    <w:name w:val="Emphasis"/>
    <w:basedOn w:val="Fuentedeprrafopredeter"/>
    <w:uiPriority w:val="20"/>
    <w:qFormat/>
    <w:rsid w:val="003F0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 w:type="character" w:styleId="nfasis">
    <w:name w:val="Emphasis"/>
    <w:basedOn w:val="Fuentedeprrafopredeter"/>
    <w:uiPriority w:val="20"/>
    <w:qFormat/>
    <w:rsid w:val="003F0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2566C0-B73C-4EFB-BCD5-E5E322E2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cp:lastModifiedBy>
  <cp:revision>3</cp:revision>
  <dcterms:created xsi:type="dcterms:W3CDTF">2018-11-13T18:01:00Z</dcterms:created>
  <dcterms:modified xsi:type="dcterms:W3CDTF">2018-11-13T18:01:00Z</dcterms:modified>
</cp:coreProperties>
</file>