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Y="2305"/>
        <w:tblOverlap w:val="never"/>
        <w:tblW w:w="0" w:type="auto"/>
        <w:tblLook w:val="04A0"/>
      </w:tblPr>
      <w:tblGrid>
        <w:gridCol w:w="1542"/>
        <w:gridCol w:w="7355"/>
      </w:tblGrid>
      <w:tr w:rsidR="008C76C2" w:rsidRPr="00D00B06" w:rsidTr="002E6574">
        <w:trPr>
          <w:cantSplit/>
          <w:trHeight w:val="5028"/>
        </w:trPr>
        <w:tc>
          <w:tcPr>
            <w:tcW w:w="1542" w:type="dxa"/>
            <w:shd w:val="clear" w:color="auto" w:fill="FBD4B4" w:themeFill="accent6" w:themeFillTint="66"/>
            <w:textDirection w:val="btLr"/>
            <w:vAlign w:val="center"/>
          </w:tcPr>
          <w:p w:rsidR="008C76C2" w:rsidRPr="00D00B06" w:rsidRDefault="008C76C2" w:rsidP="002E6574">
            <w:pPr>
              <w:spacing w:line="360" w:lineRule="auto"/>
              <w:ind w:left="113" w:right="113"/>
              <w:jc w:val="center"/>
              <w:rPr>
                <w:rFonts w:ascii="Century Gothic" w:hAnsi="Century Gothic" w:cs="Arial"/>
                <w:b/>
                <w:shd w:val="clear" w:color="auto" w:fill="FFFFFF" w:themeFill="background1"/>
              </w:rPr>
            </w:pPr>
            <w:r w:rsidRPr="0089124D">
              <w:rPr>
                <w:rFonts w:ascii="Century Gothic" w:hAnsi="Century Gothic" w:cs="Arial"/>
                <w:b/>
                <w:color w:val="000000" w:themeColor="text1"/>
                <w:sz w:val="28"/>
                <w:shd w:val="clear" w:color="auto" w:fill="FBD4B4" w:themeFill="accent6" w:themeFillTint="66"/>
              </w:rPr>
              <w:t>Procesos de Op</w:t>
            </w:r>
            <w:r w:rsidRPr="00760EE5">
              <w:rPr>
                <w:rFonts w:ascii="Century Gothic" w:hAnsi="Century Gothic" w:cs="Arial"/>
                <w:b/>
                <w:color w:val="000000" w:themeColor="text1"/>
                <w:sz w:val="28"/>
                <w:shd w:val="clear" w:color="auto" w:fill="FBD4B4" w:themeFill="accent6" w:themeFillTint="66"/>
              </w:rPr>
              <w:t>eració</w:t>
            </w:r>
            <w:r>
              <w:rPr>
                <w:rFonts w:ascii="Century Gothic" w:hAnsi="Century Gothic" w:cs="Arial"/>
                <w:b/>
                <w:color w:val="000000" w:themeColor="text1"/>
                <w:sz w:val="28"/>
                <w:shd w:val="clear" w:color="auto" w:fill="FBD4B4" w:themeFill="accent6" w:themeFillTint="66"/>
              </w:rPr>
              <w:t>n</w:t>
            </w:r>
          </w:p>
        </w:tc>
        <w:tc>
          <w:tcPr>
            <w:tcW w:w="7355" w:type="dxa"/>
            <w:shd w:val="clear" w:color="auto" w:fill="F2F2F2" w:themeFill="background1" w:themeFillShade="F2"/>
          </w:tcPr>
          <w:p w:rsidR="008C76C2" w:rsidRPr="00F22EB6" w:rsidRDefault="008C76C2" w:rsidP="002E6574">
            <w:pPr>
              <w:pStyle w:val="Sinespaciado"/>
              <w:ind w:left="720"/>
              <w:jc w:val="both"/>
              <w:rPr>
                <w:rFonts w:ascii="Century Gothic" w:hAnsi="Century Gothic"/>
                <w:b/>
                <w:shd w:val="clear" w:color="auto" w:fill="FFFFFF" w:themeFill="background1"/>
              </w:rPr>
            </w:pPr>
          </w:p>
          <w:p w:rsidR="008C76C2" w:rsidRPr="009A552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PLANEACION:</w:t>
            </w:r>
            <w:r w:rsidRPr="009A5522">
              <w:rPr>
                <w:rFonts w:ascii="Century Gothic" w:hAnsi="Century Gothic"/>
                <w:shd w:val="clear" w:color="auto" w:fill="F2F2F2" w:themeFill="background1" w:themeFillShade="F2"/>
              </w:rPr>
              <w:t xml:space="preserve"> Realización de estudio, análisis y proyección del Programa en el Municipio por parte de H. Ayuntamiento de Etzatlán.</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EXPOSICIÓN:</w:t>
            </w:r>
            <w:r w:rsidRPr="009A5522">
              <w:rPr>
                <w:rFonts w:ascii="Century Gothic" w:hAnsi="Century Gothic"/>
                <w:shd w:val="clear" w:color="auto" w:fill="F2F2F2" w:themeFill="background1" w:themeFillShade="F2"/>
              </w:rPr>
              <w:t xml:space="preserve"> Presentarlo ante la Sala de Cabildo en Sección Ordinaria para su</w:t>
            </w:r>
            <w:r w:rsidR="00B62F7A">
              <w:rPr>
                <w:rFonts w:ascii="Century Gothic" w:hAnsi="Century Gothic"/>
                <w:shd w:val="clear" w:color="auto" w:fill="F2F2F2" w:themeFill="background1" w:themeFillShade="F2"/>
              </w:rPr>
              <w:t xml:space="preserve"> </w:t>
            </w:r>
            <w:r w:rsidRPr="009A5522">
              <w:rPr>
                <w:rFonts w:ascii="Century Gothic" w:hAnsi="Century Gothic"/>
                <w:shd w:val="clear" w:color="auto" w:fill="F2F2F2" w:themeFill="background1" w:themeFillShade="F2"/>
              </w:rPr>
              <w:t>aprobación.</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APROBACIÓN:</w:t>
            </w:r>
            <w:r w:rsidR="00B62F7A">
              <w:rPr>
                <w:rFonts w:ascii="Century Gothic" w:hAnsi="Century Gothic"/>
                <w:b/>
                <w:shd w:val="clear" w:color="auto" w:fill="F2F2F2" w:themeFill="background1" w:themeFillShade="F2"/>
              </w:rPr>
              <w:t xml:space="preserve"> </w:t>
            </w:r>
            <w:r w:rsidRPr="009A5522">
              <w:rPr>
                <w:rFonts w:ascii="Century Gothic" w:hAnsi="Century Gothic"/>
                <w:shd w:val="clear" w:color="auto" w:fill="F2F2F2" w:themeFill="background1" w:themeFillShade="F2"/>
              </w:rPr>
              <w:t>Queda presente el anexo del documento en copia fiel del inciso C) del Punto Diez del Acta de la Catorceava Sesión con Carácter Ordinaria del H. Ayuntamiento Constitucional de Etzatlán Jalisco</w:t>
            </w:r>
            <w:r>
              <w:rPr>
                <w:rFonts w:ascii="Century Gothic" w:hAnsi="Century Gothic"/>
                <w:shd w:val="clear" w:color="auto" w:fill="FFFFFF" w:themeFill="background1"/>
              </w:rPr>
              <w:t xml:space="preserve">, </w:t>
            </w:r>
            <w:r w:rsidRPr="009A5522">
              <w:rPr>
                <w:rFonts w:ascii="Century Gothic" w:hAnsi="Century Gothic"/>
                <w:shd w:val="clear" w:color="auto" w:fill="F2F2F2" w:themeFill="background1" w:themeFillShade="F2"/>
              </w:rPr>
              <w:t>Administración 2012-2015 celebrada el día 26 de Enero del año 2017 la aprobación y ejecución de la entrega de 250 Calentadores Solares, en El Programa Calentares Solares.</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DESIGNACIÓN:</w:t>
            </w:r>
            <w:r w:rsidRPr="009A5522">
              <w:rPr>
                <w:rFonts w:ascii="Century Gothic" w:hAnsi="Century Gothic"/>
                <w:shd w:val="clear" w:color="auto" w:fill="F2F2F2" w:themeFill="background1" w:themeFillShade="F2"/>
              </w:rPr>
              <w:t xml:space="preserve"> Se designa a la Dirección de Desarrollo Social como encargada de la recepción de Documentos de Solicitantes para El Programa Calentadores Solares, a la Tesorería Municipal la recaudación de la Cuota de Recuperación por pago de mano de obra e instalación, </w:t>
            </w:r>
            <w:r>
              <w:rPr>
                <w:rFonts w:ascii="Century Gothic" w:hAnsi="Century Gothic"/>
                <w:shd w:val="clear" w:color="auto" w:fill="F2F2F2" w:themeFill="background1" w:themeFillShade="F2"/>
              </w:rPr>
              <w:t>a la Dirección de Transparencia</w:t>
            </w:r>
            <w:r w:rsidR="00B62F7A">
              <w:rPr>
                <w:rFonts w:ascii="Century Gothic" w:hAnsi="Century Gothic"/>
                <w:shd w:val="clear" w:color="auto" w:fill="F2F2F2" w:themeFill="background1" w:themeFillShade="F2"/>
              </w:rPr>
              <w:t xml:space="preserve"> </w:t>
            </w:r>
            <w:r>
              <w:rPr>
                <w:rFonts w:ascii="Century Gothic" w:hAnsi="Century Gothic"/>
                <w:shd w:val="clear" w:color="auto" w:fill="F2F2F2" w:themeFill="background1" w:themeFillShade="F2"/>
              </w:rPr>
              <w:t xml:space="preserve">para el proceso de </w:t>
            </w:r>
            <w:r w:rsidR="00B62F7A">
              <w:rPr>
                <w:rFonts w:ascii="Century Gothic" w:hAnsi="Century Gothic"/>
                <w:shd w:val="clear" w:color="auto" w:fill="F2F2F2" w:themeFill="background1" w:themeFillShade="F2"/>
              </w:rPr>
              <w:t>instalación</w:t>
            </w:r>
            <w:r w:rsidRPr="009A5522">
              <w:rPr>
                <w:rFonts w:ascii="Century Gothic" w:hAnsi="Century Gothic"/>
                <w:shd w:val="clear" w:color="auto" w:fill="F2F2F2" w:themeFill="background1" w:themeFillShade="F2"/>
              </w:rPr>
              <w:t xml:space="preserve"> de Calentares en las viviendas. </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 xml:space="preserve">ELABORACIÓN: </w:t>
            </w:r>
            <w:r w:rsidRPr="009A5522">
              <w:rPr>
                <w:rFonts w:ascii="Century Gothic" w:hAnsi="Century Gothic"/>
                <w:shd w:val="clear" w:color="auto" w:fill="F2F2F2" w:themeFill="background1" w:themeFillShade="F2"/>
              </w:rPr>
              <w:t>Se elaborará una convocatoria que incluya claramente las bases para poder ingresar al Programa, así como su publicación y colocación de la misma en sitios estratégicos y visibles a la comunidad.</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REGISTRO:</w:t>
            </w:r>
            <w:r w:rsidRPr="009A5522">
              <w:rPr>
                <w:rFonts w:ascii="Century Gothic" w:hAnsi="Century Gothic"/>
                <w:shd w:val="clear" w:color="auto" w:fill="F2F2F2" w:themeFill="background1" w:themeFillShade="F2"/>
              </w:rPr>
              <w:t xml:space="preserve"> Se realiza el registro y la recepción de documentos señalados en la convocatoria en la oficina de Desarrollo Social.</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9A5522">
              <w:rPr>
                <w:rFonts w:ascii="Century Gothic" w:hAnsi="Century Gothic"/>
                <w:b/>
                <w:shd w:val="clear" w:color="auto" w:fill="F2F2F2" w:themeFill="background1" w:themeFillShade="F2"/>
              </w:rPr>
              <w:t>REVISIÓN:</w:t>
            </w:r>
            <w:r w:rsidRPr="009A5522">
              <w:rPr>
                <w:rFonts w:ascii="Century Gothic" w:hAnsi="Century Gothic"/>
                <w:shd w:val="clear" w:color="auto" w:fill="F2F2F2" w:themeFill="background1" w:themeFillShade="F2"/>
              </w:rPr>
              <w:t xml:space="preserve"> El personal encargado revisa y valida que estén en su totalidad los datos, documentos y las características de las viviendas de las personas que serán </w:t>
            </w:r>
            <w:r w:rsidRPr="00760EE5">
              <w:rPr>
                <w:rFonts w:ascii="Century Gothic" w:hAnsi="Century Gothic"/>
                <w:shd w:val="clear" w:color="auto" w:fill="F2F2F2" w:themeFill="background1" w:themeFillShade="F2"/>
              </w:rPr>
              <w:t>acreedoras al</w:t>
            </w:r>
            <w:r w:rsidR="00B62F7A">
              <w:rPr>
                <w:rFonts w:ascii="Century Gothic" w:hAnsi="Century Gothic"/>
                <w:shd w:val="clear" w:color="auto" w:fill="F2F2F2" w:themeFill="background1" w:themeFillShade="F2"/>
              </w:rPr>
              <w:t xml:space="preserve"> </w:t>
            </w:r>
            <w:r w:rsidRPr="00760EE5">
              <w:rPr>
                <w:rFonts w:ascii="Century Gothic" w:hAnsi="Century Gothic"/>
                <w:shd w:val="clear" w:color="auto" w:fill="F2F2F2" w:themeFill="background1" w:themeFillShade="F2"/>
              </w:rPr>
              <w:t>beneficio.</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760EE5">
              <w:rPr>
                <w:rFonts w:ascii="Century Gothic" w:hAnsi="Century Gothic"/>
                <w:b/>
                <w:shd w:val="clear" w:color="auto" w:fill="F2F2F2" w:themeFill="background1" w:themeFillShade="F2"/>
              </w:rPr>
              <w:t>PUBLICACIÓN:</w:t>
            </w:r>
            <w:r w:rsidRPr="00760EE5">
              <w:rPr>
                <w:rFonts w:ascii="Century Gothic" w:hAnsi="Century Gothic"/>
                <w:shd w:val="clear" w:color="auto" w:fill="F2F2F2" w:themeFill="background1" w:themeFillShade="F2"/>
              </w:rPr>
              <w:t xml:space="preserve"> Se publicará el Padrón de Beneficiarios y se</w:t>
            </w:r>
            <w:r w:rsidR="00B62F7A">
              <w:rPr>
                <w:rFonts w:ascii="Century Gothic" w:hAnsi="Century Gothic"/>
                <w:shd w:val="clear" w:color="auto" w:fill="F2F2F2" w:themeFill="background1" w:themeFillShade="F2"/>
              </w:rPr>
              <w:t xml:space="preserve"> </w:t>
            </w:r>
            <w:r w:rsidRPr="00760EE5">
              <w:rPr>
                <w:rFonts w:ascii="Century Gothic" w:hAnsi="Century Gothic"/>
                <w:shd w:val="clear" w:color="auto" w:fill="F2F2F2" w:themeFill="background1" w:themeFillShade="F2"/>
              </w:rPr>
              <w:t>notificará al Beneficiario los procedimientos a seguir</w:t>
            </w:r>
            <w:r>
              <w:rPr>
                <w:rFonts w:ascii="Century Gothic" w:hAnsi="Century Gothic"/>
                <w:shd w:val="clear" w:color="auto" w:fill="FFFFFF" w:themeFill="background1"/>
              </w:rPr>
              <w:t>.</w:t>
            </w:r>
          </w:p>
          <w:p w:rsidR="008C76C2" w:rsidRDefault="008C76C2" w:rsidP="008C76C2">
            <w:pPr>
              <w:pStyle w:val="Sinespaciado"/>
              <w:numPr>
                <w:ilvl w:val="0"/>
                <w:numId w:val="1"/>
              </w:numPr>
              <w:shd w:val="clear" w:color="auto" w:fill="F2F2F2" w:themeFill="background1" w:themeFillShade="F2"/>
              <w:jc w:val="both"/>
              <w:rPr>
                <w:rFonts w:ascii="Century Gothic" w:hAnsi="Century Gothic"/>
                <w:shd w:val="clear" w:color="auto" w:fill="FFFFFF" w:themeFill="background1"/>
              </w:rPr>
            </w:pPr>
            <w:r w:rsidRPr="00760EE5">
              <w:rPr>
                <w:rFonts w:ascii="Century Gothic" w:hAnsi="Century Gothic"/>
                <w:b/>
                <w:shd w:val="clear" w:color="auto" w:fill="F2F2F2" w:themeFill="background1" w:themeFillShade="F2"/>
              </w:rPr>
              <w:t>ENTREGA DEL BENEFICIO:</w:t>
            </w:r>
            <w:r w:rsidRPr="00760EE5">
              <w:rPr>
                <w:rFonts w:ascii="Century Gothic" w:hAnsi="Century Gothic"/>
                <w:shd w:val="clear" w:color="auto" w:fill="F2F2F2" w:themeFill="background1" w:themeFillShade="F2"/>
              </w:rPr>
              <w:t xml:space="preserve"> Se instalará el Calentador Solar en las viviendas de los beneficiarios por orden alfabético</w:t>
            </w:r>
            <w:r w:rsidR="00B62F7A">
              <w:rPr>
                <w:rFonts w:ascii="Century Gothic" w:hAnsi="Century Gothic"/>
                <w:shd w:val="clear" w:color="auto" w:fill="F2F2F2" w:themeFill="background1" w:themeFillShade="F2"/>
              </w:rPr>
              <w:t xml:space="preserve"> </w:t>
            </w:r>
            <w:r w:rsidRPr="00760EE5">
              <w:rPr>
                <w:rFonts w:ascii="Century Gothic" w:hAnsi="Century Gothic"/>
                <w:shd w:val="clear" w:color="auto" w:fill="F2F2F2" w:themeFill="background1" w:themeFillShade="F2"/>
              </w:rPr>
              <w:t>mediante el siguiente orden; Oconahua, San Rafael, Santa</w:t>
            </w:r>
            <w:r w:rsidR="00B62F7A">
              <w:rPr>
                <w:rFonts w:ascii="Century Gothic" w:hAnsi="Century Gothic"/>
                <w:shd w:val="clear" w:color="auto" w:fill="F2F2F2" w:themeFill="background1" w:themeFillShade="F2"/>
              </w:rPr>
              <w:t xml:space="preserve"> </w:t>
            </w:r>
            <w:r w:rsidRPr="00760EE5">
              <w:rPr>
                <w:rFonts w:ascii="Century Gothic" w:hAnsi="Century Gothic"/>
                <w:shd w:val="clear" w:color="auto" w:fill="F2F2F2" w:themeFill="background1" w:themeFillShade="F2"/>
              </w:rPr>
              <w:t>Rosalía, San Sebastián y Mazata.</w:t>
            </w:r>
          </w:p>
          <w:p w:rsidR="008C76C2" w:rsidRPr="00D00B06" w:rsidRDefault="008C76C2" w:rsidP="008C76C2">
            <w:pPr>
              <w:pStyle w:val="Sinespaciado"/>
              <w:numPr>
                <w:ilvl w:val="0"/>
                <w:numId w:val="1"/>
              </w:numPr>
              <w:shd w:val="clear" w:color="auto" w:fill="F2F2F2" w:themeFill="background1" w:themeFillShade="F2"/>
              <w:jc w:val="both"/>
              <w:rPr>
                <w:rFonts w:ascii="Century Gothic" w:hAnsi="Century Gothic" w:cs="Arial"/>
                <w:b/>
                <w:shd w:val="clear" w:color="auto" w:fill="FFFFFF" w:themeFill="background1"/>
              </w:rPr>
            </w:pPr>
            <w:r w:rsidRPr="009A5522">
              <w:rPr>
                <w:rFonts w:ascii="Century Gothic" w:hAnsi="Century Gothic" w:cs="Arial"/>
                <w:b/>
                <w:shd w:val="clear" w:color="auto" w:fill="F2F2F2" w:themeFill="background1" w:themeFillShade="F2"/>
              </w:rPr>
              <w:t xml:space="preserve">TRASNPARENCIA: </w:t>
            </w:r>
            <w:r w:rsidRPr="009A5522">
              <w:rPr>
                <w:rFonts w:ascii="Century Gothic" w:hAnsi="Century Gothic" w:cs="Arial"/>
                <w:shd w:val="clear" w:color="auto" w:fill="F2F2F2" w:themeFill="background1" w:themeFillShade="F2"/>
              </w:rPr>
              <w:t>Se archivan los expedientes de los beneficiarios para su resguardo y se pública la información y resultados del El Programa  en el Portal Web del H. Ayuntamiento.</w:t>
            </w:r>
          </w:p>
        </w:tc>
      </w:tr>
    </w:tbl>
    <w:p w:rsidR="008C76C2" w:rsidRDefault="008C76C2" w:rsidP="008C76C2">
      <w:pPr>
        <w:spacing w:line="360" w:lineRule="auto"/>
        <w:jc w:val="center"/>
        <w:rPr>
          <w:rFonts w:ascii="Century Gothic" w:hAnsi="Century Gothic" w:cs="Arial"/>
          <w:b/>
          <w:sz w:val="24"/>
          <w:szCs w:val="24"/>
          <w:shd w:val="clear" w:color="auto" w:fill="FFFFFF" w:themeFill="background1"/>
        </w:rPr>
      </w:pPr>
      <w:r>
        <w:rPr>
          <w:rFonts w:ascii="Century Gothic" w:hAnsi="Century Gothic" w:cs="Arial"/>
          <w:b/>
          <w:sz w:val="24"/>
          <w:szCs w:val="24"/>
          <w:shd w:val="clear" w:color="auto" w:fill="FFFFFF" w:themeFill="background1"/>
        </w:rPr>
        <w:t>Procesos de Operación del programa “Calentadores Solares”</w:t>
      </w:r>
    </w:p>
    <w:p w:rsidR="008C76C2" w:rsidRDefault="008C76C2" w:rsidP="008C76C2">
      <w:pPr>
        <w:spacing w:line="360" w:lineRule="auto"/>
        <w:rPr>
          <w:rFonts w:ascii="Century Gothic" w:hAnsi="Century Gothic" w:cs="Arial"/>
          <w:b/>
          <w:sz w:val="24"/>
          <w:szCs w:val="24"/>
          <w:shd w:val="clear" w:color="auto" w:fill="FFFFFF" w:themeFill="background1"/>
        </w:rPr>
      </w:pPr>
    </w:p>
    <w:p w:rsidR="004A0E11" w:rsidRDefault="00B62F7A"/>
    <w:sectPr w:rsidR="004A0E11" w:rsidSect="00C478F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7F8"/>
    <w:multiLevelType w:val="hybridMultilevel"/>
    <w:tmpl w:val="7DD006B4"/>
    <w:lvl w:ilvl="0" w:tplc="792643D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76C2"/>
    <w:rsid w:val="000D4126"/>
    <w:rsid w:val="003D40CA"/>
    <w:rsid w:val="0088292F"/>
    <w:rsid w:val="008C76C2"/>
    <w:rsid w:val="009C772C"/>
    <w:rsid w:val="00B62F7A"/>
    <w:rsid w:val="00C478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76C2"/>
    <w:pPr>
      <w:spacing w:after="0" w:line="240" w:lineRule="auto"/>
    </w:pPr>
  </w:style>
  <w:style w:type="table" w:styleId="Tablaconcuadrcula">
    <w:name w:val="Table Grid"/>
    <w:basedOn w:val="Tablanormal"/>
    <w:uiPriority w:val="59"/>
    <w:rsid w:val="008C7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dcterms:created xsi:type="dcterms:W3CDTF">2020-07-09T14:52:00Z</dcterms:created>
  <dcterms:modified xsi:type="dcterms:W3CDTF">2020-07-09T14:54:00Z</dcterms:modified>
</cp:coreProperties>
</file>