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79F" w:rsidRDefault="007A479F" w:rsidP="007A479F">
      <w:pPr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4 de diciembre de 2019</w:t>
      </w:r>
    </w:p>
    <w:p w:rsidR="007A479F" w:rsidRDefault="007A479F" w:rsidP="007A479F">
      <w:pPr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Etzatlán, Jalisco</w:t>
      </w:r>
    </w:p>
    <w:p w:rsidR="00895B7B" w:rsidRDefault="00895B7B" w:rsidP="007A479F">
      <w:pPr>
        <w:contextualSpacing/>
        <w:jc w:val="right"/>
        <w:rPr>
          <w:sz w:val="24"/>
          <w:szCs w:val="24"/>
        </w:rPr>
      </w:pPr>
    </w:p>
    <w:p w:rsidR="00850F34" w:rsidRDefault="00850F34" w:rsidP="00850F34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POZO PROFUNDO EN OCONAHUA</w:t>
      </w:r>
    </w:p>
    <w:p w:rsidR="00850F34" w:rsidRDefault="00B12A44" w:rsidP="00850F34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JUSTIFICACIÓN</w:t>
      </w:r>
    </w:p>
    <w:p w:rsidR="007A479F" w:rsidRDefault="007A479F" w:rsidP="00850F34">
      <w:pPr>
        <w:contextualSpacing/>
        <w:jc w:val="center"/>
        <w:rPr>
          <w:sz w:val="24"/>
          <w:szCs w:val="24"/>
        </w:rPr>
      </w:pPr>
    </w:p>
    <w:p w:rsidR="0007641D" w:rsidRDefault="00C05440" w:rsidP="00E77D19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Oconahua</w:t>
      </w:r>
      <w:proofErr w:type="spellEnd"/>
      <w:r>
        <w:rPr>
          <w:sz w:val="24"/>
          <w:szCs w:val="24"/>
        </w:rPr>
        <w:t xml:space="preserve"> es la</w:t>
      </w:r>
      <w:r w:rsidR="00C86AC5">
        <w:rPr>
          <w:sz w:val="24"/>
          <w:szCs w:val="24"/>
        </w:rPr>
        <w:t xml:space="preserve"> segunda localidad, en términos de población, del Municipio de Etzatlán, con 2,275 habitantes (Censo 2010), lo que representa el 12.2% de la totalidad. Considerando una tasa de crecimiento anual de </w:t>
      </w:r>
      <w:r w:rsidR="003C11ED">
        <w:rPr>
          <w:sz w:val="24"/>
          <w:szCs w:val="24"/>
        </w:rPr>
        <w:t>0.00901</w:t>
      </w:r>
      <w:r w:rsidR="00C86AC5">
        <w:rPr>
          <w:sz w:val="24"/>
          <w:szCs w:val="24"/>
        </w:rPr>
        <w:t>, la proyección a 2018 indica una población estimada de 2</w:t>
      </w:r>
      <w:r w:rsidR="003C11ED">
        <w:rPr>
          <w:sz w:val="24"/>
          <w:szCs w:val="24"/>
        </w:rPr>
        <w:t>,</w:t>
      </w:r>
      <w:r w:rsidR="00C86AC5">
        <w:rPr>
          <w:sz w:val="24"/>
          <w:szCs w:val="24"/>
        </w:rPr>
        <w:t>5</w:t>
      </w:r>
      <w:r w:rsidR="00584AD4">
        <w:rPr>
          <w:sz w:val="24"/>
          <w:szCs w:val="24"/>
        </w:rPr>
        <w:t>55 habitantes.</w:t>
      </w:r>
    </w:p>
    <w:p w:rsidR="00C86AC5" w:rsidRDefault="00C86AC5" w:rsidP="00E77D19">
      <w:pPr>
        <w:jc w:val="both"/>
        <w:rPr>
          <w:sz w:val="24"/>
          <w:szCs w:val="24"/>
        </w:rPr>
      </w:pPr>
      <w:r>
        <w:rPr>
          <w:sz w:val="24"/>
          <w:szCs w:val="24"/>
        </w:rPr>
        <w:t>Actualmente, el suministro de agua potable depende del pozo profundo “El Tenedor”, del que son extraídos 306 m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/d.   Considerando una dotación </w:t>
      </w:r>
      <w:r>
        <w:rPr>
          <w:i/>
          <w:sz w:val="24"/>
          <w:szCs w:val="24"/>
        </w:rPr>
        <w:t>per cápita</w:t>
      </w:r>
      <w:r w:rsidR="00895B7B">
        <w:rPr>
          <w:sz w:val="24"/>
          <w:szCs w:val="24"/>
        </w:rPr>
        <w:t xml:space="preserve"> de 250 </w:t>
      </w:r>
      <w:r>
        <w:rPr>
          <w:sz w:val="24"/>
          <w:szCs w:val="24"/>
        </w:rPr>
        <w:t>L/</w:t>
      </w:r>
      <w:proofErr w:type="spellStart"/>
      <w:r>
        <w:rPr>
          <w:sz w:val="24"/>
          <w:szCs w:val="24"/>
        </w:rPr>
        <w:t>hab</w:t>
      </w:r>
      <w:proofErr w:type="spellEnd"/>
      <w:r w:rsidR="003C11ED">
        <w:rPr>
          <w:sz w:val="24"/>
          <w:szCs w:val="24"/>
        </w:rPr>
        <w:t xml:space="preserve"> (dato conservador si se tiene en cuenta que la mayor parte de las casas de la localidad cuenta con corrales),</w:t>
      </w:r>
      <w:r>
        <w:rPr>
          <w:sz w:val="24"/>
          <w:szCs w:val="24"/>
        </w:rPr>
        <w:t xml:space="preserve"> la demanda actual de la población es de </w:t>
      </w:r>
      <w:r w:rsidR="00895B7B">
        <w:rPr>
          <w:sz w:val="24"/>
          <w:szCs w:val="24"/>
        </w:rPr>
        <w:t>638.75</w:t>
      </w:r>
      <w:r w:rsidR="003C11ED">
        <w:rPr>
          <w:sz w:val="24"/>
          <w:szCs w:val="24"/>
        </w:rPr>
        <w:t xml:space="preserve"> m</w:t>
      </w:r>
      <w:r w:rsidR="003C11ED">
        <w:rPr>
          <w:sz w:val="24"/>
          <w:szCs w:val="24"/>
          <w:vertAlign w:val="superscript"/>
        </w:rPr>
        <w:t>3</w:t>
      </w:r>
      <w:r w:rsidR="003C11ED">
        <w:rPr>
          <w:sz w:val="24"/>
          <w:szCs w:val="24"/>
        </w:rPr>
        <w:t>/d</w:t>
      </w:r>
      <w:r>
        <w:rPr>
          <w:sz w:val="24"/>
          <w:szCs w:val="24"/>
        </w:rPr>
        <w:t>.</w:t>
      </w:r>
    </w:p>
    <w:p w:rsidR="003C11ED" w:rsidRDefault="003C11ED" w:rsidP="00E77D19">
      <w:pPr>
        <w:jc w:val="both"/>
        <w:rPr>
          <w:sz w:val="24"/>
          <w:szCs w:val="24"/>
        </w:rPr>
      </w:pPr>
      <w:r>
        <w:rPr>
          <w:sz w:val="24"/>
          <w:szCs w:val="24"/>
        </w:rPr>
        <w:t>Lo anterior indica que s</w:t>
      </w:r>
      <w:r w:rsidR="00895B7B">
        <w:rPr>
          <w:sz w:val="24"/>
          <w:szCs w:val="24"/>
        </w:rPr>
        <w:t>ólo podría ser cubierta alrededor del 48</w:t>
      </w:r>
      <w:r>
        <w:rPr>
          <w:sz w:val="24"/>
          <w:szCs w:val="24"/>
        </w:rPr>
        <w:t>% de la demanda de la población</w:t>
      </w:r>
      <w:r w:rsidR="00895B7B">
        <w:rPr>
          <w:sz w:val="24"/>
          <w:szCs w:val="24"/>
        </w:rPr>
        <w:t>, si se considerara una eficiencia del 100% en la red; es decir, una red sin fugas. Esto habla de la</w:t>
      </w:r>
      <w:r>
        <w:rPr>
          <w:sz w:val="24"/>
          <w:szCs w:val="24"/>
        </w:rPr>
        <w:t xml:space="preserve"> urgente necesidad de buscar una fuente </w:t>
      </w:r>
      <w:r w:rsidR="00895B7B">
        <w:rPr>
          <w:sz w:val="24"/>
          <w:szCs w:val="24"/>
        </w:rPr>
        <w:t>adicional para el abastecimiento</w:t>
      </w:r>
      <w:r>
        <w:rPr>
          <w:sz w:val="24"/>
          <w:szCs w:val="24"/>
        </w:rPr>
        <w:t xml:space="preserve"> de agua potable, que garantice uno de los derechos humanos básicos de las personas: El derecho al agua.</w:t>
      </w:r>
    </w:p>
    <w:p w:rsidR="00265C3C" w:rsidRDefault="00CA447E" w:rsidP="00E77D1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 abril de 2018 se realizó un estudio </w:t>
      </w:r>
      <w:proofErr w:type="spellStart"/>
      <w:r>
        <w:rPr>
          <w:sz w:val="24"/>
          <w:szCs w:val="24"/>
        </w:rPr>
        <w:t>geohidrológico</w:t>
      </w:r>
      <w:proofErr w:type="spellEnd"/>
      <w:r>
        <w:rPr>
          <w:sz w:val="24"/>
          <w:szCs w:val="24"/>
        </w:rPr>
        <w:t xml:space="preserve"> y un sondeo eléctrico vertical para detectar presencia de agua en el subsuelo, en la zona pre-seleccionada para la perforación. También se llevó a cabo un sondeo eléctrico vertical, cubriendo con él una profundidad de 300m</w:t>
      </w:r>
      <w:r w:rsidR="00265C3C">
        <w:rPr>
          <w:sz w:val="24"/>
          <w:szCs w:val="24"/>
        </w:rPr>
        <w:t>. Con los resultados de estos estudios, se emite las siguientes recomendaciones:</w:t>
      </w:r>
    </w:p>
    <w:p w:rsidR="00265C3C" w:rsidRDefault="00265C3C" w:rsidP="00265C3C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265C3C">
        <w:rPr>
          <w:sz w:val="24"/>
          <w:szCs w:val="24"/>
        </w:rPr>
        <w:t>erforar a una profundidad de 250</w:t>
      </w:r>
    </w:p>
    <w:p w:rsidR="00265C3C" w:rsidRDefault="00265C3C" w:rsidP="00265C3C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Comenzar</w:t>
      </w:r>
      <w:r w:rsidRPr="00265C3C">
        <w:rPr>
          <w:sz w:val="24"/>
          <w:szCs w:val="24"/>
        </w:rPr>
        <w:t xml:space="preserve"> con un pozo de exploración de 9 ¼”</w:t>
      </w:r>
      <w:r>
        <w:rPr>
          <w:sz w:val="24"/>
          <w:szCs w:val="24"/>
        </w:rPr>
        <w:t xml:space="preserve"> de diámetro</w:t>
      </w:r>
    </w:p>
    <w:p w:rsidR="00CA447E" w:rsidRDefault="00265C3C" w:rsidP="00265C3C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265C3C">
        <w:rPr>
          <w:sz w:val="24"/>
          <w:szCs w:val="24"/>
        </w:rPr>
        <w:t>El diáme</w:t>
      </w:r>
      <w:r>
        <w:rPr>
          <w:sz w:val="24"/>
          <w:szCs w:val="24"/>
        </w:rPr>
        <w:t>tro de ampliación de 16”</w:t>
      </w:r>
    </w:p>
    <w:p w:rsidR="00265C3C" w:rsidRDefault="00265C3C" w:rsidP="00265C3C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Diámetro del ademe de 10”</w:t>
      </w:r>
    </w:p>
    <w:p w:rsidR="00265C3C" w:rsidRDefault="00265C3C" w:rsidP="00265C3C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Longitud de tubería lisa de 20m</w:t>
      </w:r>
    </w:p>
    <w:p w:rsidR="00265C3C" w:rsidRDefault="00265C3C" w:rsidP="00265C3C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Longitud de tubería </w:t>
      </w:r>
      <w:proofErr w:type="spellStart"/>
      <w:r>
        <w:rPr>
          <w:sz w:val="24"/>
          <w:szCs w:val="24"/>
        </w:rPr>
        <w:t>ranurada</w:t>
      </w:r>
      <w:proofErr w:type="spellEnd"/>
      <w:r>
        <w:rPr>
          <w:sz w:val="24"/>
          <w:szCs w:val="24"/>
        </w:rPr>
        <w:t xml:space="preserve"> de 230m</w:t>
      </w:r>
    </w:p>
    <w:p w:rsidR="00265C3C" w:rsidRPr="00265C3C" w:rsidRDefault="00265C3C" w:rsidP="00265C3C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Grava para el filtro de ¼ a ½”</w:t>
      </w:r>
    </w:p>
    <w:p w:rsidR="003C11ED" w:rsidRDefault="00895B7B" w:rsidP="00E77D19">
      <w:pPr>
        <w:jc w:val="both"/>
        <w:rPr>
          <w:sz w:val="24"/>
          <w:szCs w:val="24"/>
        </w:rPr>
      </w:pPr>
      <w:r>
        <w:rPr>
          <w:sz w:val="24"/>
          <w:szCs w:val="24"/>
        </w:rPr>
        <w:t>Para cubrir la</w:t>
      </w:r>
      <w:r w:rsidR="003C11ED">
        <w:rPr>
          <w:sz w:val="24"/>
          <w:szCs w:val="24"/>
        </w:rPr>
        <w:t xml:space="preserve"> necesida</w:t>
      </w:r>
      <w:r w:rsidR="00E77D19">
        <w:rPr>
          <w:sz w:val="24"/>
          <w:szCs w:val="24"/>
        </w:rPr>
        <w:t>d actual y la del horizonte de diseño</w:t>
      </w:r>
      <w:r w:rsidR="003C11ED">
        <w:rPr>
          <w:sz w:val="24"/>
          <w:szCs w:val="24"/>
        </w:rPr>
        <w:t>, se comenzó con la perforación de un pozo profundo adicional,</w:t>
      </w:r>
      <w:r w:rsidR="00265C3C">
        <w:rPr>
          <w:sz w:val="24"/>
          <w:szCs w:val="24"/>
        </w:rPr>
        <w:t xml:space="preserve"> siguiendo las recomendaciones emitidas en el estudio,</w:t>
      </w:r>
      <w:r w:rsidR="003C11ED">
        <w:rPr>
          <w:sz w:val="24"/>
          <w:szCs w:val="24"/>
        </w:rPr>
        <w:t xml:space="preserve"> con una profundidad de proyecto de 250m.</w:t>
      </w:r>
      <w:r w:rsidR="00E77D19">
        <w:rPr>
          <w:sz w:val="24"/>
          <w:szCs w:val="24"/>
        </w:rPr>
        <w:t xml:space="preserve">  La falta de recursos económicos detuvo temporalmente esta obra, que al día de hoy está a 110 m de profundidad.</w:t>
      </w:r>
    </w:p>
    <w:p w:rsidR="00850F34" w:rsidRDefault="00E77D19" w:rsidP="00E77D19">
      <w:pPr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lastRenderedPageBreak/>
        <w:t xml:space="preserve">Se anexa </w:t>
      </w:r>
      <w:r w:rsidR="00850F34">
        <w:rPr>
          <w:sz w:val="24"/>
          <w:szCs w:val="24"/>
        </w:rPr>
        <w:t xml:space="preserve">estudio </w:t>
      </w:r>
      <w:proofErr w:type="spellStart"/>
      <w:r w:rsidR="00850F34">
        <w:rPr>
          <w:sz w:val="24"/>
          <w:szCs w:val="24"/>
        </w:rPr>
        <w:t>geohidrológico</w:t>
      </w:r>
      <w:proofErr w:type="spellEnd"/>
      <w:r w:rsidR="00850F34">
        <w:rPr>
          <w:sz w:val="24"/>
          <w:szCs w:val="24"/>
        </w:rPr>
        <w:t xml:space="preserve"> y sondeo eléctrico vertical</w:t>
      </w:r>
      <w:r w:rsidR="00265C3C">
        <w:rPr>
          <w:sz w:val="24"/>
          <w:szCs w:val="24"/>
        </w:rPr>
        <w:t xml:space="preserve"> de la zona de perforación, así </w:t>
      </w:r>
      <w:r w:rsidR="00850F34">
        <w:rPr>
          <w:sz w:val="24"/>
          <w:szCs w:val="24"/>
        </w:rPr>
        <w:t>como presupuesto de la perforación del mismo.</w:t>
      </w:r>
    </w:p>
    <w:p w:rsidR="00E77D19" w:rsidRPr="00C86AC5" w:rsidRDefault="00E77D19" w:rsidP="00E77D19">
      <w:pPr>
        <w:jc w:val="both"/>
        <w:rPr>
          <w:sz w:val="24"/>
          <w:szCs w:val="24"/>
        </w:rPr>
      </w:pPr>
    </w:p>
    <w:p w:rsidR="00001253" w:rsidRDefault="00001253" w:rsidP="00E77D19">
      <w:pPr>
        <w:jc w:val="both"/>
      </w:pPr>
    </w:p>
    <w:p w:rsidR="00001253" w:rsidRDefault="00001253" w:rsidP="00E77D19">
      <w:pPr>
        <w:jc w:val="both"/>
      </w:pPr>
    </w:p>
    <w:p w:rsidR="00001253" w:rsidRDefault="00001253"/>
    <w:sectPr w:rsidR="00001253" w:rsidSect="00A243E7">
      <w:headerReference w:type="default" r:id="rId8"/>
      <w:pgSz w:w="12240" w:h="15840"/>
      <w:pgMar w:top="212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F5D" w:rsidRDefault="00474F5D" w:rsidP="00DD2114">
      <w:pPr>
        <w:spacing w:after="0" w:line="240" w:lineRule="auto"/>
      </w:pPr>
      <w:r>
        <w:separator/>
      </w:r>
    </w:p>
  </w:endnote>
  <w:endnote w:type="continuationSeparator" w:id="0">
    <w:p w:rsidR="00474F5D" w:rsidRDefault="00474F5D" w:rsidP="00DD2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F5D" w:rsidRDefault="00474F5D" w:rsidP="00DD2114">
      <w:pPr>
        <w:spacing w:after="0" w:line="240" w:lineRule="auto"/>
      </w:pPr>
      <w:r>
        <w:separator/>
      </w:r>
    </w:p>
  </w:footnote>
  <w:footnote w:type="continuationSeparator" w:id="0">
    <w:p w:rsidR="00474F5D" w:rsidRDefault="00474F5D" w:rsidP="00DD21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114" w:rsidRPr="00DD2114" w:rsidRDefault="00D939DE" w:rsidP="00D939DE">
    <w:pPr>
      <w:pStyle w:val="Encabezado"/>
      <w:rPr>
        <w:rFonts w:ascii="Arial Rounded MT Bold" w:hAnsi="Arial Rounded MT Bold"/>
        <w:sz w:val="48"/>
        <w:szCs w:val="48"/>
      </w:rPr>
    </w:pPr>
    <w:r w:rsidRPr="00465FB8"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3702EA3E" wp14:editId="05E12518">
          <wp:simplePos x="0" y="0"/>
          <wp:positionH relativeFrom="column">
            <wp:posOffset>-3810</wp:posOffset>
          </wp:positionH>
          <wp:positionV relativeFrom="paragraph">
            <wp:posOffset>-192405</wp:posOffset>
          </wp:positionV>
          <wp:extent cx="1852863" cy="838200"/>
          <wp:effectExtent l="0" t="0" r="0" b="0"/>
          <wp:wrapNone/>
          <wp:docPr id="3" name="Imagen 3" descr="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2863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77E46">
      <w:rPr>
        <w:rFonts w:ascii="Arial Rounded MT Bold" w:hAnsi="Arial Rounded MT Bold"/>
        <w:sz w:val="48"/>
        <w:szCs w:val="48"/>
      </w:rPr>
      <w:tab/>
    </w:r>
    <w:r w:rsidR="00077E46">
      <w:rPr>
        <w:rFonts w:ascii="Arial Rounded MT Bold" w:hAnsi="Arial Rounded MT Bold"/>
        <w:sz w:val="48"/>
        <w:szCs w:val="48"/>
      </w:rPr>
      <w:tab/>
    </w:r>
    <w:r w:rsidR="00001253">
      <w:rPr>
        <w:sz w:val="24"/>
        <w:szCs w:val="24"/>
      </w:rPr>
      <w:t xml:space="preserve"> </w:t>
    </w:r>
  </w:p>
  <w:p w:rsidR="00DD2114" w:rsidRPr="00D939DE" w:rsidRDefault="00A444C4" w:rsidP="00D939DE">
    <w:pPr>
      <w:pStyle w:val="Encabezado"/>
      <w:rPr>
        <w:sz w:val="24"/>
        <w:szCs w:val="24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214FF9" wp14:editId="4505BE5A">
              <wp:simplePos x="0" y="0"/>
              <wp:positionH relativeFrom="column">
                <wp:posOffset>1986914</wp:posOffset>
              </wp:positionH>
              <wp:positionV relativeFrom="paragraph">
                <wp:posOffset>12064</wp:posOffset>
              </wp:positionV>
              <wp:extent cx="3653155" cy="0"/>
              <wp:effectExtent l="0" t="0" r="23495" b="19050"/>
              <wp:wrapNone/>
              <wp:docPr id="14" name="Conector rect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365315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43E6E534" id="Conector recto 14" o:spid="_x0000_s1026" style="position:absolute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6.45pt,.95pt" to="444.1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EzyxAEAANUDAAAOAAAAZHJzL2Uyb0RvYy54bWysU02P0zAQvSPxHyzfadIuXaGo6R66Ag4I&#10;Kli4e51xY8lfGpsm/feMnTQgQEi74uLYnnlv5j1PdnejNewMGLV3LV+vas7ASd9pd2r514e3r95w&#10;FpNwnTDeQcsvEPnd/uWL3RAa2Pjemw6QEYmLzRBa3qcUmqqKsgcr4soHcBRUHq1IdMRT1aEYiN2a&#10;alPXt9XgsQvoJcRIt/dTkO8Lv1Ig0yelIiRmWk69pbJiWR/zWu13ojmhCL2WcxviGV1YoR0VXaju&#10;RRLsO+o/qKyW6KNXaSW9rbxSWkLRQGrW9W9qvvQiQNFC5sSw2BT/H638eD4i0x293WvOnLD0Rgd6&#10;KZk8MswfRgFyaQixoeSDO+J8iuGIWfKo0DJldHhPJLzsvuVdjpFANha3L4vbMCYm6fLmdnuz3m45&#10;k9dYNZFlYMCY3oG3LG9abrTLRohGnD/ERA1Q6jWFDrm5qZ2ySxcDOdm4z6BIHBWb2iljBQeD7Cxo&#10;IISU4NImyyO+kp1hShuzAOtS9p/AOT9DoYzcU8ALolT2Li1gq53Hv1VP43puWU35Vwcm3dmCR99d&#10;ykMVa2h2isJ5zvNw/nou8J9/4/4HAAAA//8DAFBLAwQUAAYACAAAACEAXHhILNsAAAAHAQAADwAA&#10;AGRycy9kb3ducmV2LnhtbEyOQUvDQBCF74L/YRnBm900gl1jNkUiUhC02Mb7JjtNgtnZkN228d87&#10;etHT8Pgeb758PbtBnHAKvScNy0UCAqnxtqdWQ7V/vlEgQjRkzeAJNXxhgHVxeZGbzPozveNpF1vB&#10;IxQyo6GLccykDE2HzoSFH5GYHfzkTOQ4tdJO5szjbpBpktxJZ3riD50Zseyw+dwdnYZV5Z/Kw/5l&#10;VW3bUm3c28drvRm0vr6aHx9ARJzjXxl+9FkdCnaq/ZFsEIOG22V6z1UGfJgrpVIQ9W+WRS7/+xff&#10;AAAA//8DAFBLAQItABQABgAIAAAAIQC2gziS/gAAAOEBAAATAAAAAAAAAAAAAAAAAAAAAABbQ29u&#10;dGVudF9UeXBlc10ueG1sUEsBAi0AFAAGAAgAAAAhADj9If/WAAAAlAEAAAsAAAAAAAAAAAAAAAAA&#10;LwEAAF9yZWxzLy5yZWxzUEsBAi0AFAAGAAgAAAAhADRQTPLEAQAA1QMAAA4AAAAAAAAAAAAAAAAA&#10;LgIAAGRycy9lMm9Eb2MueG1sUEsBAi0AFAAGAAgAAAAhAFx4SCzbAAAABwEAAA8AAAAAAAAAAAAA&#10;AAAAHgQAAGRycy9kb3ducmV2LnhtbFBLBQYAAAAABAAEAPMAAAAmBQAAAAA=&#10;" strokecolor="#ed7d31 [3205]" strokeweight=".5pt">
              <v:stroke joinstyle="miter"/>
            </v:line>
          </w:pict>
        </mc:Fallback>
      </mc:AlternateContent>
    </w:r>
    <w:r w:rsidR="00FE123E">
      <w:rPr>
        <w:sz w:val="24"/>
        <w:szCs w:val="24"/>
      </w:rPr>
      <w:tab/>
    </w:r>
    <w:r w:rsidR="00FE123E">
      <w:rPr>
        <w:sz w:val="24"/>
        <w:szCs w:val="24"/>
      </w:rPr>
      <w:tab/>
      <w:t>Administración 201</w:t>
    </w:r>
    <w:r w:rsidR="00D939DE">
      <w:rPr>
        <w:sz w:val="24"/>
        <w:szCs w:val="24"/>
      </w:rPr>
      <w:t>8-2021</w:t>
    </w:r>
  </w:p>
  <w:p w:rsidR="00DD2114" w:rsidRDefault="00DD211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4148AB"/>
    <w:multiLevelType w:val="hybridMultilevel"/>
    <w:tmpl w:val="C0448A30"/>
    <w:lvl w:ilvl="0" w:tplc="132AB6F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114"/>
    <w:rsid w:val="00001253"/>
    <w:rsid w:val="0007641D"/>
    <w:rsid w:val="00077E46"/>
    <w:rsid w:val="00231D7C"/>
    <w:rsid w:val="00265C3C"/>
    <w:rsid w:val="002A292B"/>
    <w:rsid w:val="003C11ED"/>
    <w:rsid w:val="003D2E38"/>
    <w:rsid w:val="00474F5D"/>
    <w:rsid w:val="005779EB"/>
    <w:rsid w:val="00584AD4"/>
    <w:rsid w:val="007A479F"/>
    <w:rsid w:val="00850F34"/>
    <w:rsid w:val="00895B7B"/>
    <w:rsid w:val="0096166E"/>
    <w:rsid w:val="00A243E7"/>
    <w:rsid w:val="00A444C4"/>
    <w:rsid w:val="00A47067"/>
    <w:rsid w:val="00B12A44"/>
    <w:rsid w:val="00B3142B"/>
    <w:rsid w:val="00B668C6"/>
    <w:rsid w:val="00C05440"/>
    <w:rsid w:val="00C86AC5"/>
    <w:rsid w:val="00CA447E"/>
    <w:rsid w:val="00D939DE"/>
    <w:rsid w:val="00DD2114"/>
    <w:rsid w:val="00E2522B"/>
    <w:rsid w:val="00E77D19"/>
    <w:rsid w:val="00FE1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D21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2114"/>
  </w:style>
  <w:style w:type="paragraph" w:styleId="Piedepgina">
    <w:name w:val="footer"/>
    <w:basedOn w:val="Normal"/>
    <w:link w:val="PiedepginaCar"/>
    <w:uiPriority w:val="99"/>
    <w:unhideWhenUsed/>
    <w:rsid w:val="00DD21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D2114"/>
  </w:style>
  <w:style w:type="paragraph" w:styleId="Prrafodelista">
    <w:name w:val="List Paragraph"/>
    <w:basedOn w:val="Normal"/>
    <w:uiPriority w:val="34"/>
    <w:qFormat/>
    <w:rsid w:val="00265C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D21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2114"/>
  </w:style>
  <w:style w:type="paragraph" w:styleId="Piedepgina">
    <w:name w:val="footer"/>
    <w:basedOn w:val="Normal"/>
    <w:link w:val="PiedepginaCar"/>
    <w:uiPriority w:val="99"/>
    <w:unhideWhenUsed/>
    <w:rsid w:val="00DD21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D2114"/>
  </w:style>
  <w:style w:type="paragraph" w:styleId="Prrafodelista">
    <w:name w:val="List Paragraph"/>
    <w:basedOn w:val="Normal"/>
    <w:uiPriority w:val="34"/>
    <w:qFormat/>
    <w:rsid w:val="00265C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331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User</cp:lastModifiedBy>
  <cp:revision>11</cp:revision>
  <dcterms:created xsi:type="dcterms:W3CDTF">2018-08-16T19:30:00Z</dcterms:created>
  <dcterms:modified xsi:type="dcterms:W3CDTF">2019-01-05T02:38:00Z</dcterms:modified>
</cp:coreProperties>
</file>